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75" w:beforeAutospacing="0" w:after="330" w:afterAutospacing="0" w:line="360" w:lineRule="auto"/>
        <w:textAlignment w:val="baseline"/>
      </w:pPr>
      <w:r>
        <w:rPr>
          <w:rFonts w:hint="eastAsia"/>
        </w:rPr>
        <w:t>附件1：</w:t>
      </w:r>
    </w:p>
    <w:p>
      <w:pPr>
        <w:jc w:val="center"/>
        <w:rPr>
          <w:rFonts w:ascii="宋体" w:hAnsi="宋体"/>
          <w:b/>
          <w:sz w:val="28"/>
        </w:rPr>
      </w:pPr>
      <w:r>
        <w:rPr>
          <w:rFonts w:hint="eastAsia" w:ascii="宋体" w:hAnsi="宋体"/>
          <w:b/>
          <w:sz w:val="28"/>
        </w:rPr>
        <w:t>广东省福利彩票发行中心“刮刮乐”即开票仓库租赁服务采购需求</w:t>
      </w:r>
    </w:p>
    <w:p>
      <w:pPr>
        <w:numPr>
          <w:ilvl w:val="0"/>
          <w:numId w:val="1"/>
        </w:numPr>
        <w:spacing w:line="360" w:lineRule="auto"/>
        <w:jc w:val="left"/>
        <w:rPr>
          <w:rFonts w:ascii="宋体" w:hAnsi="宋体" w:cs="宋体"/>
          <w:b/>
          <w:bCs/>
          <w:sz w:val="24"/>
          <w:szCs w:val="24"/>
        </w:rPr>
      </w:pPr>
      <w:r>
        <w:rPr>
          <w:rFonts w:hint="eastAsia" w:ascii="宋体" w:hAnsi="宋体" w:cs="宋体"/>
          <w:b/>
          <w:bCs/>
          <w:sz w:val="24"/>
          <w:szCs w:val="24"/>
        </w:rPr>
        <w:t>项目概述：</w:t>
      </w:r>
    </w:p>
    <w:p>
      <w:pPr>
        <w:adjustRightInd w:val="0"/>
        <w:spacing w:line="360" w:lineRule="auto"/>
        <w:ind w:left="410" w:hanging="410" w:hangingChars="171"/>
        <w:rPr>
          <w:rFonts w:ascii="宋体" w:hAnsi="宋体" w:cs="宋体"/>
          <w:sz w:val="24"/>
          <w:szCs w:val="24"/>
        </w:rPr>
      </w:pPr>
      <w:r>
        <w:rPr>
          <w:rFonts w:hint="eastAsia" w:ascii="宋体" w:hAnsi="宋体" w:cs="宋体"/>
          <w:sz w:val="24"/>
          <w:szCs w:val="24"/>
        </w:rPr>
        <w:t>1.项目名称：广东省福利彩票发行中心“刮刮乐”即开票仓库租赁服务采购项目。</w:t>
      </w:r>
    </w:p>
    <w:p>
      <w:pPr>
        <w:adjustRightInd w:val="0"/>
        <w:spacing w:line="360" w:lineRule="auto"/>
        <w:ind w:left="410" w:hanging="410" w:hangingChars="171"/>
        <w:rPr>
          <w:rFonts w:ascii="宋体" w:hAnsi="宋体" w:cs="宋体"/>
          <w:sz w:val="24"/>
          <w:szCs w:val="24"/>
        </w:rPr>
      </w:pPr>
      <w:r>
        <w:rPr>
          <w:rFonts w:hint="eastAsia" w:ascii="宋体" w:hAnsi="宋体" w:cs="宋体"/>
          <w:sz w:val="24"/>
          <w:szCs w:val="24"/>
        </w:rPr>
        <w:t>2.项目简介：仓库须是1楼（首层）专用独立的仓库或者是独立使用的库房（不需走楼梯或乘坐电梯即可直达），提供合格的消防设施及验收证明，实用面积1500-1800平方米（正负10%之间，无公摊面积），层高不低于3.5米，库内地板是防火、防静电的地坪漆底，墙体四周水泥砖墙密封，具备完善的防盗、防潮、防虫、防火及通风等安全设施，配备足够的灭火器、自动灭火系统等防火设备，配备有垫仓板（非木制，规格为1200×1200×160（mm），静载：6T，动载：1.5T，垫仓板须占仓库面积80%以上），或比垫仓板更先进的垫货物设备，密封安全门及常规供水、供电、照明及应急照明设备。水费与电费按照国家收费标准执行收费。</w:t>
      </w:r>
    </w:p>
    <w:p>
      <w:pPr>
        <w:adjustRightInd w:val="0"/>
        <w:spacing w:line="360" w:lineRule="auto"/>
        <w:ind w:left="410" w:hanging="410" w:hangingChars="171"/>
        <w:rPr>
          <w:rFonts w:ascii="宋体" w:hAnsi="宋体" w:cs="宋体"/>
          <w:sz w:val="24"/>
          <w:szCs w:val="24"/>
        </w:rPr>
      </w:pPr>
      <w:r>
        <w:rPr>
          <w:rFonts w:hint="eastAsia" w:ascii="宋体" w:hAnsi="宋体" w:cs="宋体"/>
          <w:sz w:val="24"/>
          <w:szCs w:val="24"/>
        </w:rPr>
        <w:t>3.本采购项目服务期限为三年。</w:t>
      </w:r>
    </w:p>
    <w:p>
      <w:pPr>
        <w:adjustRightInd w:val="0"/>
        <w:spacing w:line="360" w:lineRule="auto"/>
        <w:ind w:left="410" w:hanging="410" w:hangingChars="171"/>
        <w:rPr>
          <w:rFonts w:ascii="宋体" w:hAnsi="宋体" w:cs="宋体"/>
          <w:sz w:val="24"/>
          <w:szCs w:val="24"/>
        </w:rPr>
      </w:pPr>
      <w:r>
        <w:rPr>
          <w:rFonts w:hint="eastAsia" w:ascii="宋体" w:hAnsi="宋体" w:cs="宋体"/>
          <w:sz w:val="24"/>
          <w:szCs w:val="24"/>
        </w:rPr>
        <w:t>4.本项目采购预算除每月水费、电费和搬运装卸费，其他所有费用均包含在中标租金单价中。</w:t>
      </w:r>
    </w:p>
    <w:p>
      <w:pPr>
        <w:adjustRightInd w:val="0"/>
        <w:spacing w:line="360" w:lineRule="auto"/>
        <w:ind w:left="410" w:hanging="410" w:hangingChars="171"/>
        <w:rPr>
          <w:rFonts w:ascii="宋体" w:hAnsi="宋体" w:cs="宋体"/>
          <w:sz w:val="24"/>
          <w:szCs w:val="24"/>
        </w:rPr>
      </w:pPr>
      <w:r>
        <w:rPr>
          <w:rFonts w:hint="eastAsia" w:ascii="宋体" w:hAnsi="宋体" w:cs="宋体"/>
          <w:sz w:val="24"/>
          <w:szCs w:val="24"/>
        </w:rPr>
        <w:t>5.本项目为交钥匙承包项目，中标人承包及负责招标文件对中标人要求的一切事宜及责任。</w:t>
      </w:r>
    </w:p>
    <w:p>
      <w:pPr>
        <w:adjustRightInd w:val="0"/>
        <w:spacing w:line="360" w:lineRule="auto"/>
        <w:ind w:left="410" w:hanging="410" w:hangingChars="171"/>
        <w:rPr>
          <w:rFonts w:ascii="宋体" w:hAnsi="宋体" w:cs="宋体"/>
          <w:sz w:val="24"/>
          <w:szCs w:val="24"/>
        </w:rPr>
      </w:pPr>
      <w:r>
        <w:rPr>
          <w:rFonts w:hint="eastAsia" w:ascii="宋体" w:hAnsi="宋体" w:cs="宋体"/>
          <w:sz w:val="24"/>
          <w:szCs w:val="24"/>
        </w:rPr>
        <w:t>6.中标人不得以任何方式转包本项目。</w:t>
      </w:r>
    </w:p>
    <w:p>
      <w:pPr>
        <w:adjustRightInd w:val="0"/>
        <w:spacing w:line="360" w:lineRule="auto"/>
        <w:ind w:left="410" w:hanging="410" w:hangingChars="171"/>
        <w:rPr>
          <w:rFonts w:ascii="宋体" w:hAnsi="宋体" w:cs="宋体"/>
          <w:sz w:val="24"/>
          <w:szCs w:val="24"/>
        </w:rPr>
      </w:pPr>
      <w:r>
        <w:rPr>
          <w:rFonts w:hint="eastAsia" w:ascii="宋体" w:hAnsi="宋体" w:cs="宋体"/>
          <w:sz w:val="24"/>
          <w:szCs w:val="24"/>
        </w:rPr>
        <w:t>7.本项目不接受联合体参与投标。</w:t>
      </w:r>
    </w:p>
    <w:p>
      <w:pPr>
        <w:adjustRightInd w:val="0"/>
        <w:spacing w:line="360" w:lineRule="auto"/>
        <w:ind w:left="410" w:hanging="410" w:hangingChars="171"/>
        <w:rPr>
          <w:rFonts w:ascii="宋体" w:hAnsi="宋体" w:cs="宋体"/>
          <w:sz w:val="24"/>
          <w:szCs w:val="24"/>
        </w:rPr>
      </w:pPr>
      <w:r>
        <w:rPr>
          <w:rFonts w:hint="eastAsia" w:ascii="宋体" w:hAnsi="宋体" w:cs="宋体"/>
          <w:sz w:val="24"/>
          <w:szCs w:val="24"/>
        </w:rPr>
        <w:t>8.本项目采购标的对应的中小企业划分标准所属行业为：租赁和商务服务业。</w:t>
      </w:r>
    </w:p>
    <w:p>
      <w:pPr>
        <w:adjustRightInd w:val="0"/>
        <w:spacing w:line="360" w:lineRule="auto"/>
        <w:ind w:left="410" w:hanging="410" w:hangingChars="171"/>
        <w:rPr>
          <w:rFonts w:ascii="宋体" w:hAnsi="宋体" w:cs="宋体"/>
          <w:sz w:val="24"/>
          <w:szCs w:val="24"/>
        </w:rPr>
      </w:pPr>
      <w:r>
        <w:rPr>
          <w:rFonts w:ascii="宋体" w:hAnsi="宋体" w:cs="宋体"/>
          <w:sz w:val="24"/>
          <w:szCs w:val="24"/>
        </w:rPr>
        <w:t>9</w:t>
      </w:r>
      <w:r>
        <w:rPr>
          <w:rFonts w:hint="eastAsia" w:ascii="宋体" w:hAnsi="宋体" w:cs="宋体"/>
          <w:sz w:val="24"/>
          <w:szCs w:val="24"/>
        </w:rPr>
        <w:t>.本项目不专门面向中小企业预留采购份额。</w:t>
      </w:r>
    </w:p>
    <w:p>
      <w:pPr>
        <w:spacing w:line="360" w:lineRule="auto"/>
        <w:ind w:left="360" w:hanging="360" w:hangingChars="150"/>
        <w:jc w:val="left"/>
        <w:rPr>
          <w:rFonts w:ascii="宋体" w:hAnsi="宋体" w:cs="宋体"/>
          <w:b/>
          <w:sz w:val="24"/>
          <w:szCs w:val="24"/>
        </w:rPr>
      </w:pPr>
      <w:r>
        <w:rPr>
          <w:rFonts w:ascii="宋体" w:hAnsi="宋体" w:cs="宋体"/>
          <w:sz w:val="24"/>
          <w:szCs w:val="24"/>
        </w:rPr>
        <w:t>10.</w:t>
      </w:r>
      <w:r>
        <w:rPr>
          <w:rFonts w:hint="eastAsia" w:ascii="宋体" w:hAnsi="宋体" w:cs="宋体"/>
          <w:b/>
          <w:sz w:val="24"/>
          <w:szCs w:val="24"/>
        </w:rPr>
        <w:t>带“★”号条款为实质性响应条款，不满足将导致投标无效。带“▲”号条款为重要服务条款，任何偏离将导致严重扣分。</w:t>
      </w:r>
    </w:p>
    <w:p>
      <w:pPr>
        <w:numPr>
          <w:ilvl w:val="0"/>
          <w:numId w:val="1"/>
        </w:numPr>
        <w:spacing w:line="360" w:lineRule="auto"/>
        <w:jc w:val="left"/>
        <w:rPr>
          <w:rFonts w:ascii="宋体" w:hAnsi="宋体" w:cs="宋体"/>
          <w:b/>
          <w:bCs/>
          <w:sz w:val="24"/>
          <w:szCs w:val="24"/>
        </w:rPr>
      </w:pPr>
      <w:r>
        <w:rPr>
          <w:rFonts w:hint="eastAsia" w:ascii="宋体" w:hAnsi="宋体" w:cs="宋体"/>
          <w:b/>
          <w:bCs/>
          <w:sz w:val="24"/>
          <w:szCs w:val="24"/>
        </w:rPr>
        <w:t>项目服务内容：</w:t>
      </w:r>
    </w:p>
    <w:p>
      <w:pPr>
        <w:numPr>
          <w:ilvl w:val="0"/>
          <w:numId w:val="2"/>
        </w:numPr>
        <w:spacing w:line="360" w:lineRule="auto"/>
        <w:jc w:val="left"/>
        <w:rPr>
          <w:rFonts w:ascii="宋体" w:hAnsi="宋体" w:cs="宋体"/>
          <w:b/>
          <w:bCs/>
          <w:sz w:val="24"/>
          <w:szCs w:val="24"/>
        </w:rPr>
      </w:pPr>
      <w:r>
        <w:rPr>
          <w:rFonts w:hint="eastAsia" w:ascii="宋体" w:hAnsi="宋体" w:cs="宋体"/>
          <w:b/>
          <w:bCs/>
          <w:sz w:val="24"/>
          <w:szCs w:val="24"/>
        </w:rPr>
        <w:t>总体要求</w:t>
      </w:r>
    </w:p>
    <w:p>
      <w:pPr>
        <w:numPr>
          <w:ilvl w:val="0"/>
          <w:numId w:val="3"/>
        </w:numPr>
        <w:adjustRightInd w:val="0"/>
        <w:spacing w:line="360" w:lineRule="auto"/>
        <w:rPr>
          <w:rFonts w:ascii="宋体" w:hAnsi="宋体" w:cs="宋体"/>
          <w:sz w:val="24"/>
          <w:szCs w:val="24"/>
        </w:rPr>
      </w:pPr>
      <w:r>
        <w:rPr>
          <w:rFonts w:hint="eastAsia" w:ascii="宋体" w:hAnsi="宋体" w:cs="宋体"/>
          <w:sz w:val="24"/>
          <w:szCs w:val="24"/>
        </w:rPr>
        <w:t>采购项目内容中的服务要求指标仅为最低要求。投标人在响应详细内容中必须列出具体内容。如果投标人只注明“正偏离”或“无偏离”，将被视为“负偏离”，从而可能导致严重影响评标结果。</w:t>
      </w:r>
    </w:p>
    <w:p>
      <w:pPr>
        <w:numPr>
          <w:ilvl w:val="0"/>
          <w:numId w:val="3"/>
        </w:numPr>
        <w:adjustRightInd w:val="0"/>
        <w:spacing w:line="360" w:lineRule="auto"/>
        <w:rPr>
          <w:rFonts w:ascii="宋体" w:hAnsi="宋体" w:cs="宋体"/>
          <w:sz w:val="24"/>
          <w:szCs w:val="24"/>
        </w:rPr>
      </w:pPr>
      <w:r>
        <w:rPr>
          <w:rFonts w:hint="eastAsia" w:ascii="宋体" w:hAnsi="宋体" w:cs="宋体"/>
          <w:sz w:val="24"/>
          <w:szCs w:val="24"/>
        </w:rPr>
        <w:t>投标人没有在投标文件中注明偏离（文字说明或在服务、商务偏离表注明）的参数、配置、条款视为被投标人完全接受。</w:t>
      </w:r>
    </w:p>
    <w:p>
      <w:pPr>
        <w:numPr>
          <w:ilvl w:val="0"/>
          <w:numId w:val="2"/>
        </w:numPr>
        <w:spacing w:line="360" w:lineRule="auto"/>
        <w:jc w:val="left"/>
        <w:rPr>
          <w:rFonts w:ascii="宋体" w:hAnsi="宋体" w:cs="宋体"/>
          <w:b/>
          <w:bCs/>
          <w:sz w:val="24"/>
          <w:szCs w:val="24"/>
        </w:rPr>
      </w:pPr>
      <w:r>
        <w:rPr>
          <w:rFonts w:hint="eastAsia" w:ascii="宋体" w:hAnsi="宋体" w:cs="宋体"/>
          <w:b/>
          <w:bCs/>
          <w:sz w:val="24"/>
          <w:szCs w:val="24"/>
        </w:rPr>
        <w:t>仓库租赁服务需求</w:t>
      </w:r>
    </w:p>
    <w:p>
      <w:pPr>
        <w:numPr>
          <w:ilvl w:val="0"/>
          <w:numId w:val="4"/>
        </w:numPr>
        <w:adjustRightInd w:val="0"/>
        <w:spacing w:line="360" w:lineRule="auto"/>
        <w:rPr>
          <w:rFonts w:ascii="宋体" w:hAnsi="宋体" w:cs="宋体"/>
          <w:sz w:val="24"/>
          <w:szCs w:val="24"/>
        </w:rPr>
      </w:pPr>
      <w:bookmarkStart w:id="0" w:name="_Toc163900070"/>
      <w:r>
        <w:rPr>
          <w:rFonts w:hint="eastAsia" w:ascii="宋体" w:hAnsi="宋体" w:cs="宋体"/>
          <w:sz w:val="24"/>
          <w:szCs w:val="24"/>
        </w:rPr>
        <w:t>★投标的仓库须是独栋或者是独立使用的，为钢筋混凝土结构/砖混结构，实用面积1500-1800平方米（正负10%之间，无公摊面积），层高不低于3.5米。仓库必须是1楼（首层）的独立仓库（不需走楼梯或乘坐电梯即可直达），要求处于地势较高位置，同时具备相关的防洪设计（如防洪沟、架空层等）。</w:t>
      </w:r>
    </w:p>
    <w:p>
      <w:pPr>
        <w:numPr>
          <w:ilvl w:val="0"/>
          <w:numId w:val="4"/>
        </w:numPr>
        <w:adjustRightInd w:val="0"/>
        <w:spacing w:line="360" w:lineRule="auto"/>
        <w:rPr>
          <w:rFonts w:ascii="宋体" w:hAnsi="宋体" w:cs="宋体"/>
          <w:sz w:val="24"/>
          <w:szCs w:val="24"/>
        </w:rPr>
      </w:pPr>
      <w:r>
        <w:rPr>
          <w:rFonts w:hint="eastAsia" w:ascii="宋体" w:hAnsi="宋体" w:cs="宋体"/>
          <w:sz w:val="24"/>
          <w:szCs w:val="24"/>
        </w:rPr>
        <w:t>★投标的仓库须为非危险品仓库，且离危险品仓库1000米以上。</w:t>
      </w:r>
    </w:p>
    <w:p>
      <w:pPr>
        <w:numPr>
          <w:ilvl w:val="0"/>
          <w:numId w:val="4"/>
        </w:numPr>
        <w:adjustRightInd w:val="0"/>
        <w:spacing w:line="360" w:lineRule="auto"/>
        <w:rPr>
          <w:rFonts w:ascii="宋体" w:hAnsi="宋体" w:cs="宋体"/>
          <w:sz w:val="24"/>
          <w:szCs w:val="24"/>
        </w:rPr>
      </w:pPr>
      <w:r>
        <w:rPr>
          <w:rFonts w:hint="eastAsia" w:ascii="宋体" w:hAnsi="宋体" w:cs="宋体"/>
          <w:sz w:val="24"/>
          <w:szCs w:val="24"/>
        </w:rPr>
        <w:t>★投标人须提供仓库使用合法手续证明。投标的仓库不存在争议、用途符合法律规定，至投标有效期截止日前无出让、查封或其他法律纠纷，具有有效的建设手续（不属于违建或临建且保证租赁期内不会拆迁的建筑物）。具备合法有效的权属证明或备案文件证明（拟投仓库如为自有产权，则应提供拟投仓库归属投标人所有的房屋产权证明；如为租赁，则应提供仓库拥有者的相关资料（含房屋产权证明）及投标人与仓库拥有者签订的租赁合同；如为第三方无偿提供使用的，则应提供产权所有人的产权证明，以及产权租赁方的租赁合同和同意投标人使用租赁方租赁场所的证明文件，租赁期限应在本项目服务期限内）。租赁期限内，中标人提供的仓库不得更换。</w:t>
      </w:r>
    </w:p>
    <w:p>
      <w:pPr>
        <w:numPr>
          <w:ilvl w:val="0"/>
          <w:numId w:val="4"/>
        </w:numPr>
        <w:adjustRightInd w:val="0"/>
        <w:spacing w:line="360" w:lineRule="auto"/>
        <w:rPr>
          <w:rFonts w:ascii="宋体" w:hAnsi="宋体" w:cs="宋体"/>
          <w:sz w:val="24"/>
          <w:szCs w:val="24"/>
        </w:rPr>
      </w:pPr>
      <w:r>
        <w:rPr>
          <w:rFonts w:hint="eastAsia" w:ascii="宋体" w:hAnsi="宋体" w:cs="宋体"/>
          <w:sz w:val="24"/>
          <w:szCs w:val="24"/>
        </w:rPr>
        <w:t>仓库内地板是防火、防静电的地坪漆底，墙体四周水泥砖墙密封，具备完善的防盗、防潮、防虫、防火及通风等安全设施，配备有垫仓板【非木制，规格为1200×1200×160（mm），静载：6T，动载：1.5T，垫仓板须占仓库总面积80%以上】，或比垫仓板更先进的垫货物设备，密封安全门及常规供水、供电、照明及应急照明设备。水费与电费按照国家收费标准执行收费。</w:t>
      </w:r>
    </w:p>
    <w:p>
      <w:pPr>
        <w:numPr>
          <w:ilvl w:val="0"/>
          <w:numId w:val="4"/>
        </w:numPr>
        <w:adjustRightInd w:val="0"/>
        <w:spacing w:line="360" w:lineRule="auto"/>
        <w:rPr>
          <w:rFonts w:ascii="宋体" w:hAnsi="宋体" w:cs="宋体"/>
          <w:sz w:val="24"/>
          <w:szCs w:val="24"/>
        </w:rPr>
      </w:pPr>
      <w:r>
        <w:rPr>
          <w:rFonts w:hint="eastAsia" w:ascii="宋体" w:hAnsi="宋体" w:cs="宋体"/>
          <w:sz w:val="24"/>
          <w:szCs w:val="24"/>
        </w:rPr>
        <w:t>仓库必须配备完善的消防系统，包括但不限于室内消防栓系统、自动灯笼干粉灭火系统，烟感系统及火灾自动报警系统、干粉灭火器、灭火毯、灭火沙堆。</w:t>
      </w:r>
    </w:p>
    <w:p>
      <w:pPr>
        <w:numPr>
          <w:ilvl w:val="0"/>
          <w:numId w:val="4"/>
        </w:numPr>
        <w:adjustRightInd w:val="0"/>
        <w:spacing w:line="360" w:lineRule="auto"/>
        <w:rPr>
          <w:rFonts w:ascii="宋体" w:hAnsi="宋体" w:cs="宋体"/>
          <w:sz w:val="24"/>
          <w:szCs w:val="24"/>
        </w:rPr>
      </w:pPr>
      <w:r>
        <w:rPr>
          <w:rFonts w:hint="eastAsia" w:ascii="宋体" w:hAnsi="宋体" w:cs="宋体"/>
          <w:sz w:val="24"/>
          <w:szCs w:val="24"/>
        </w:rPr>
        <w:t>★投标人必须提供所投仓库的公安机关消防主管部门颁发的消防验收备案资料，或提供公安机关消防主管部门备案受理凭证（且附提供消防备案的相关资料）。</w:t>
      </w:r>
    </w:p>
    <w:p>
      <w:pPr>
        <w:numPr>
          <w:ilvl w:val="0"/>
          <w:numId w:val="4"/>
        </w:numPr>
        <w:adjustRightInd w:val="0"/>
        <w:spacing w:line="360" w:lineRule="auto"/>
        <w:rPr>
          <w:rFonts w:ascii="宋体" w:hAnsi="宋体" w:cs="宋体"/>
          <w:sz w:val="24"/>
          <w:szCs w:val="24"/>
        </w:rPr>
      </w:pPr>
      <w:r>
        <w:rPr>
          <w:rFonts w:hint="eastAsia" w:ascii="宋体" w:hAnsi="宋体" w:cs="宋体"/>
          <w:sz w:val="24"/>
          <w:szCs w:val="24"/>
        </w:rPr>
        <w:t>仓库租赁期间，仓库所有设施设备的维护保养、损坏更换等费用均由中标人承担。</w:t>
      </w:r>
    </w:p>
    <w:p>
      <w:pPr>
        <w:numPr>
          <w:ilvl w:val="0"/>
          <w:numId w:val="4"/>
        </w:numPr>
        <w:adjustRightInd w:val="0"/>
        <w:spacing w:line="360" w:lineRule="auto"/>
        <w:rPr>
          <w:rFonts w:ascii="宋体" w:hAnsi="宋体" w:cs="宋体"/>
          <w:sz w:val="24"/>
          <w:szCs w:val="24"/>
        </w:rPr>
      </w:pPr>
      <w:r>
        <w:rPr>
          <w:rFonts w:hint="eastAsia" w:ascii="宋体" w:hAnsi="宋体" w:cs="宋体"/>
          <w:sz w:val="24"/>
          <w:szCs w:val="24"/>
        </w:rPr>
        <w:t>★中标人必须保证载重30吨（含）内的大型货运货车可24小时出入库内场地装卸停靠，同时货运大车往返仓库的道路上没有交通管制时段。</w:t>
      </w:r>
    </w:p>
    <w:p>
      <w:pPr>
        <w:numPr>
          <w:ilvl w:val="0"/>
          <w:numId w:val="4"/>
        </w:numPr>
        <w:adjustRightInd w:val="0"/>
        <w:spacing w:line="360" w:lineRule="auto"/>
        <w:rPr>
          <w:rFonts w:ascii="宋体" w:hAnsi="宋体" w:cs="宋体"/>
          <w:sz w:val="24"/>
          <w:szCs w:val="24"/>
        </w:rPr>
      </w:pPr>
      <w:r>
        <w:rPr>
          <w:rFonts w:hint="eastAsia" w:ascii="宋体" w:hAnsi="宋体" w:cs="宋体"/>
          <w:sz w:val="24"/>
          <w:szCs w:val="24"/>
        </w:rPr>
        <w:t>仓库须有安全、畅通、防雨的专用装卸场地和环境，并配备足够的搬运设备（6台以上承载不低于400KG的小板车、2台以上承载不低于1000KG的叉车等）。</w:t>
      </w:r>
    </w:p>
    <w:p>
      <w:pPr>
        <w:numPr>
          <w:ilvl w:val="0"/>
          <w:numId w:val="4"/>
        </w:numPr>
        <w:adjustRightInd w:val="0"/>
        <w:spacing w:line="360" w:lineRule="auto"/>
        <w:rPr>
          <w:rFonts w:ascii="宋体" w:hAnsi="宋体" w:cs="宋体"/>
          <w:sz w:val="24"/>
          <w:szCs w:val="24"/>
        </w:rPr>
      </w:pPr>
      <w:r>
        <w:rPr>
          <w:rFonts w:hint="eastAsia" w:ascii="宋体" w:hAnsi="宋体" w:cs="宋体"/>
          <w:sz w:val="24"/>
          <w:szCs w:val="24"/>
        </w:rPr>
        <w:t>投标仓库距离至广州市越秀区东风中路300号路程不超过40公里，投标时需提供仓库位置至广州市越秀区东风中路300号的里程（以高德地图导航为准）。</w:t>
      </w:r>
    </w:p>
    <w:p>
      <w:pPr>
        <w:numPr>
          <w:ilvl w:val="0"/>
          <w:numId w:val="4"/>
        </w:numPr>
        <w:adjustRightInd w:val="0"/>
        <w:spacing w:line="360" w:lineRule="auto"/>
        <w:rPr>
          <w:rFonts w:ascii="宋体" w:hAnsi="宋体" w:cs="宋体"/>
          <w:sz w:val="24"/>
          <w:szCs w:val="24"/>
        </w:rPr>
      </w:pPr>
      <w:r>
        <w:rPr>
          <w:rFonts w:hint="eastAsia" w:ascii="宋体" w:hAnsi="宋体" w:cs="宋体"/>
          <w:sz w:val="24"/>
          <w:szCs w:val="24"/>
        </w:rPr>
        <w:t>仓库须配套24小时监控系统（具备红外夜视功能，要求仓库内无监控死角；采用24小时实时录像存储方式，存储时间不少于90天；门窗等出入口需安装红外对射、门磁等报警系统。后备电源保证可持续供电6小时)，同时配备24小时保安值守（三班倒，每班不少于2个安保人员，合计不少于6人）及监控报警设备。</w:t>
      </w:r>
    </w:p>
    <w:p>
      <w:pPr>
        <w:numPr>
          <w:ilvl w:val="0"/>
          <w:numId w:val="4"/>
        </w:numPr>
        <w:adjustRightInd w:val="0"/>
        <w:spacing w:line="360" w:lineRule="auto"/>
        <w:rPr>
          <w:rFonts w:ascii="宋体" w:hAnsi="宋体" w:cs="宋体"/>
          <w:sz w:val="24"/>
          <w:szCs w:val="24"/>
        </w:rPr>
      </w:pPr>
      <w:r>
        <w:rPr>
          <w:rFonts w:hint="eastAsia" w:ascii="宋体" w:hAnsi="宋体" w:cs="宋体"/>
          <w:sz w:val="24"/>
          <w:szCs w:val="24"/>
        </w:rPr>
        <w:t>仓库须配备2位仓管员的办公场地（配套有办公所需的办公设施，不少于2张桌子、4张椅子、1台空调、1个沙发等）和4位运输司机夜晚的临时休息场所（具备空调房间、淋浴间和卫生间）。</w:t>
      </w:r>
    </w:p>
    <w:p>
      <w:pPr>
        <w:numPr>
          <w:ilvl w:val="0"/>
          <w:numId w:val="4"/>
        </w:numPr>
        <w:adjustRightInd w:val="0"/>
        <w:spacing w:line="360" w:lineRule="auto"/>
        <w:rPr>
          <w:rFonts w:ascii="宋体" w:hAnsi="宋体" w:cs="宋体"/>
          <w:sz w:val="24"/>
          <w:szCs w:val="24"/>
        </w:rPr>
      </w:pPr>
      <w:r>
        <w:rPr>
          <w:rFonts w:hint="eastAsia" w:ascii="宋体" w:hAnsi="宋体" w:cs="宋体"/>
          <w:sz w:val="24"/>
          <w:szCs w:val="24"/>
        </w:rPr>
        <w:t>中标人必须配备不少于3个停车位【停放载重30吨（含）内的大型货运货车】，且在仓库区域（200米内）。</w:t>
      </w:r>
    </w:p>
    <w:p>
      <w:pPr>
        <w:numPr>
          <w:ilvl w:val="0"/>
          <w:numId w:val="4"/>
        </w:numPr>
        <w:adjustRightInd w:val="0"/>
        <w:spacing w:line="360" w:lineRule="auto"/>
        <w:rPr>
          <w:rFonts w:ascii="宋体" w:hAnsi="宋体" w:cs="宋体"/>
          <w:sz w:val="24"/>
          <w:szCs w:val="24"/>
        </w:rPr>
      </w:pPr>
      <w:r>
        <w:rPr>
          <w:rFonts w:hint="eastAsia" w:ascii="宋体" w:hAnsi="宋体" w:cs="宋体"/>
          <w:sz w:val="24"/>
          <w:szCs w:val="24"/>
        </w:rPr>
        <w:t>★中标人必须能提供不少于8人的搬运装卸人员队伍，并列明费用，搬运装卸费用按实际使用另行结算。</w:t>
      </w:r>
    </w:p>
    <w:p>
      <w:pPr>
        <w:numPr>
          <w:ilvl w:val="0"/>
          <w:numId w:val="4"/>
        </w:numPr>
        <w:adjustRightInd w:val="0"/>
        <w:spacing w:line="360" w:lineRule="auto"/>
        <w:rPr>
          <w:rFonts w:ascii="宋体" w:hAnsi="宋体" w:cs="宋体"/>
          <w:sz w:val="24"/>
          <w:szCs w:val="24"/>
        </w:rPr>
      </w:pPr>
      <w:r>
        <w:rPr>
          <w:rFonts w:hint="eastAsia" w:ascii="宋体" w:hAnsi="宋体" w:cs="宋体"/>
          <w:sz w:val="24"/>
          <w:szCs w:val="24"/>
        </w:rPr>
        <w:t>考虑到如中标后，如即开型福利彩票需要从原仓储搬迁至新中标的仓储点，中标人需配合采购人执行搬迁方案，搬迁工作及费用由采购人负责（本次招标项目不包含搬迁费用）。</w:t>
      </w:r>
    </w:p>
    <w:p>
      <w:pPr>
        <w:numPr>
          <w:ilvl w:val="0"/>
          <w:numId w:val="4"/>
        </w:numPr>
        <w:adjustRightInd w:val="0"/>
        <w:spacing w:line="360" w:lineRule="auto"/>
        <w:rPr>
          <w:rFonts w:ascii="宋体" w:hAnsi="宋体" w:cs="宋体"/>
          <w:sz w:val="24"/>
          <w:szCs w:val="24"/>
        </w:rPr>
      </w:pPr>
      <w:r>
        <w:rPr>
          <w:rFonts w:hint="eastAsia" w:ascii="宋体" w:hAnsi="宋体" w:cs="宋体"/>
          <w:sz w:val="24"/>
          <w:szCs w:val="24"/>
        </w:rPr>
        <w:t>中标人于2023年11月20日前完成仓库的验收及交付使用。中标人不能如期交付仓库使用或仓库未达到采购人使用要求、交付使用前又拒不整改的，采购人有权终止其合同，依法重新开展政府采购活动，并报政府监督管理部门处理，由此产生的一切责任及一切损失由中标人负责。</w:t>
      </w:r>
    </w:p>
    <w:p>
      <w:pPr>
        <w:numPr>
          <w:ilvl w:val="0"/>
          <w:numId w:val="4"/>
        </w:numPr>
        <w:adjustRightInd w:val="0"/>
        <w:spacing w:line="360" w:lineRule="auto"/>
        <w:rPr>
          <w:rFonts w:ascii="宋体" w:hAnsi="宋体" w:cs="宋体"/>
          <w:sz w:val="24"/>
          <w:szCs w:val="24"/>
        </w:rPr>
      </w:pPr>
      <w:r>
        <w:rPr>
          <w:rFonts w:hint="eastAsia" w:ascii="宋体" w:hAnsi="宋体" w:cs="宋体"/>
          <w:sz w:val="24"/>
          <w:szCs w:val="24"/>
        </w:rPr>
        <w:t>中标人须认真履行保密规定，不准对仓储的物品进行拍照和对相关信息进行对外宣传或网上传播。</w:t>
      </w:r>
    </w:p>
    <w:p>
      <w:pPr>
        <w:numPr>
          <w:ilvl w:val="0"/>
          <w:numId w:val="4"/>
        </w:numPr>
        <w:adjustRightInd w:val="0"/>
        <w:spacing w:line="360" w:lineRule="auto"/>
        <w:rPr>
          <w:rFonts w:ascii="宋体" w:hAnsi="宋体" w:cs="宋体"/>
          <w:sz w:val="24"/>
          <w:szCs w:val="24"/>
        </w:rPr>
      </w:pPr>
      <w:r>
        <w:rPr>
          <w:rFonts w:hint="eastAsia" w:ascii="宋体" w:hAnsi="宋体" w:cs="宋体"/>
          <w:sz w:val="24"/>
          <w:szCs w:val="24"/>
        </w:rPr>
        <w:t>中标人必须为投标的仓库购买代保管财产的财产险。</w:t>
      </w:r>
    </w:p>
    <w:p>
      <w:pPr>
        <w:numPr>
          <w:ilvl w:val="0"/>
          <w:numId w:val="4"/>
        </w:numPr>
        <w:adjustRightInd w:val="0"/>
        <w:spacing w:line="360" w:lineRule="auto"/>
        <w:rPr>
          <w:rFonts w:ascii="宋体" w:hAnsi="宋体" w:cs="宋体"/>
          <w:sz w:val="24"/>
          <w:szCs w:val="24"/>
        </w:rPr>
      </w:pPr>
      <w:r>
        <w:rPr>
          <w:rFonts w:hint="eastAsia" w:ascii="宋体" w:hAnsi="宋体" w:cs="宋体"/>
          <w:sz w:val="24"/>
          <w:szCs w:val="24"/>
        </w:rPr>
        <w:t>中标人应积极主动做好仓库相关服务工作。如采购人需要，中标人须无条件配合采购人开展工作。</w:t>
      </w:r>
    </w:p>
    <w:p>
      <w:pPr>
        <w:numPr>
          <w:ilvl w:val="0"/>
          <w:numId w:val="4"/>
        </w:numPr>
        <w:adjustRightInd w:val="0"/>
        <w:spacing w:line="360" w:lineRule="auto"/>
        <w:rPr>
          <w:rFonts w:ascii="宋体" w:hAnsi="宋体" w:cs="宋体"/>
          <w:sz w:val="24"/>
          <w:szCs w:val="24"/>
        </w:rPr>
      </w:pPr>
      <w:r>
        <w:rPr>
          <w:rFonts w:hint="eastAsia" w:ascii="宋体" w:hAnsi="宋体" w:cs="宋体"/>
          <w:sz w:val="24"/>
          <w:szCs w:val="24"/>
        </w:rPr>
        <w:t>如中标人原因导致采购人产生损失，采购人有权追究中标人责任并要求相应赔偿。</w:t>
      </w:r>
    </w:p>
    <w:bookmarkEnd w:id="0"/>
    <w:p>
      <w:pPr>
        <w:numPr>
          <w:ilvl w:val="0"/>
          <w:numId w:val="1"/>
        </w:numPr>
        <w:spacing w:line="360" w:lineRule="auto"/>
        <w:jc w:val="left"/>
        <w:rPr>
          <w:rFonts w:ascii="宋体" w:hAnsi="宋体" w:cs="宋体"/>
          <w:b/>
          <w:bCs/>
          <w:sz w:val="24"/>
          <w:szCs w:val="24"/>
        </w:rPr>
      </w:pPr>
      <w:r>
        <w:rPr>
          <w:rFonts w:hint="eastAsia" w:ascii="宋体" w:hAnsi="宋体" w:cs="宋体"/>
          <w:b/>
          <w:bCs/>
          <w:sz w:val="24"/>
          <w:szCs w:val="24"/>
        </w:rPr>
        <w:t>项目商务要求：</w:t>
      </w:r>
    </w:p>
    <w:p>
      <w:pPr>
        <w:numPr>
          <w:ilvl w:val="0"/>
          <w:numId w:val="5"/>
        </w:numPr>
        <w:spacing w:line="360" w:lineRule="auto"/>
        <w:jc w:val="left"/>
        <w:rPr>
          <w:rFonts w:ascii="宋体" w:hAnsi="宋体" w:cs="宋体"/>
          <w:b/>
          <w:bCs/>
          <w:sz w:val="24"/>
          <w:szCs w:val="24"/>
        </w:rPr>
      </w:pPr>
      <w:r>
        <w:rPr>
          <w:rFonts w:hint="eastAsia" w:ascii="宋体" w:hAnsi="宋体" w:cs="宋体"/>
          <w:b/>
          <w:bCs/>
          <w:sz w:val="24"/>
          <w:szCs w:val="24"/>
        </w:rPr>
        <w:t>付款方式：</w:t>
      </w:r>
    </w:p>
    <w:p>
      <w:pPr>
        <w:numPr>
          <w:ilvl w:val="0"/>
          <w:numId w:val="6"/>
        </w:numPr>
        <w:spacing w:line="360" w:lineRule="auto"/>
        <w:jc w:val="left"/>
        <w:rPr>
          <w:rFonts w:ascii="宋体" w:hAnsi="宋体" w:cs="宋体"/>
          <w:sz w:val="24"/>
          <w:szCs w:val="24"/>
        </w:rPr>
      </w:pPr>
      <w:r>
        <w:rPr>
          <w:rFonts w:hint="eastAsia" w:ascii="宋体" w:hAnsi="宋体" w:cs="宋体"/>
          <w:sz w:val="24"/>
          <w:szCs w:val="24"/>
        </w:rPr>
        <w:t>本项目服务费按月进行结算支付。</w:t>
      </w:r>
    </w:p>
    <w:p>
      <w:pPr>
        <w:numPr>
          <w:ilvl w:val="0"/>
          <w:numId w:val="6"/>
        </w:numPr>
        <w:spacing w:line="360" w:lineRule="auto"/>
        <w:jc w:val="left"/>
        <w:rPr>
          <w:rFonts w:ascii="宋体" w:hAnsi="宋体" w:cs="宋体"/>
          <w:sz w:val="24"/>
          <w:szCs w:val="24"/>
        </w:rPr>
      </w:pPr>
      <w:r>
        <w:rPr>
          <w:rFonts w:hint="eastAsia" w:ascii="宋体" w:hAnsi="宋体" w:cs="宋体"/>
          <w:sz w:val="24"/>
          <w:szCs w:val="24"/>
        </w:rPr>
        <w:t>支付方式：按月支付，中标人于每月上旬向采购人提供相关发票凭证，采购人收到发票凭证后，于15个工作日内通过银行转账方式一次性支付当月租赁费用。</w:t>
      </w:r>
    </w:p>
    <w:p>
      <w:pPr>
        <w:numPr>
          <w:ilvl w:val="0"/>
          <w:numId w:val="6"/>
        </w:numPr>
        <w:spacing w:line="360" w:lineRule="auto"/>
        <w:jc w:val="left"/>
        <w:rPr>
          <w:rFonts w:ascii="宋体" w:hAnsi="宋体" w:cs="宋体"/>
          <w:sz w:val="24"/>
          <w:szCs w:val="24"/>
        </w:rPr>
      </w:pPr>
      <w:r>
        <w:rPr>
          <w:rFonts w:hint="eastAsia" w:ascii="宋体" w:hAnsi="宋体" w:cs="宋体"/>
          <w:sz w:val="24"/>
          <w:szCs w:val="24"/>
        </w:rPr>
        <w:t>因采购人使用的是财政资金，采购人在上述规定的付款时间为向政府采购支付部门提出办理财政支付申请手续的时间（不含政府财政支付部门审核的时间），在规定时间内提出支付申请手续后即视为采购人已经按期支付。</w:t>
      </w:r>
    </w:p>
    <w:p>
      <w:pPr>
        <w:numPr>
          <w:ilvl w:val="0"/>
          <w:numId w:val="5"/>
        </w:numPr>
        <w:spacing w:line="360" w:lineRule="auto"/>
        <w:jc w:val="left"/>
        <w:rPr>
          <w:rFonts w:ascii="宋体" w:hAnsi="宋体" w:cs="宋体"/>
          <w:b/>
          <w:bCs/>
          <w:sz w:val="24"/>
          <w:szCs w:val="24"/>
        </w:rPr>
      </w:pPr>
      <w:r>
        <w:rPr>
          <w:rFonts w:hint="eastAsia" w:ascii="宋体" w:hAnsi="宋体" w:cs="宋体"/>
          <w:b/>
          <w:bCs/>
          <w:sz w:val="24"/>
          <w:szCs w:val="24"/>
        </w:rPr>
        <w:t>投标报价说明</w:t>
      </w:r>
    </w:p>
    <w:p>
      <w:pPr>
        <w:numPr>
          <w:ilvl w:val="0"/>
          <w:numId w:val="7"/>
        </w:numPr>
        <w:adjustRightInd w:val="0"/>
        <w:spacing w:line="360" w:lineRule="auto"/>
        <w:rPr>
          <w:rFonts w:ascii="宋体" w:hAnsi="宋体" w:cs="宋体"/>
          <w:sz w:val="24"/>
          <w:szCs w:val="24"/>
        </w:rPr>
      </w:pPr>
      <w:r>
        <w:rPr>
          <w:rFonts w:hint="eastAsia" w:ascii="宋体" w:hAnsi="宋体" w:cs="宋体"/>
          <w:sz w:val="24"/>
          <w:szCs w:val="24"/>
        </w:rPr>
        <w:t>投标价格包括仓库租赁费、管理费（例如安保、监控系统、消防系统、运输司机夜晚的临时休息场所费用、仓库的设备设施等）、税费及与项目服务要求相关的一切费用，不包括水电费及装卸费（水电费、装卸费凭发票按实结算，由采购人直接支付）。投标人需提供投标报价，投标报价不得超过本项目的最高限价或最高单价限价。水电费、装卸费需单独报价，以固定单价形式报价，不包含在投标报价中，水电费、装卸费凭发票按实结算，中标后装卸费不得上浮，水电费原则上不能上浮，如遇国家政策调整等原因可依据政策调整水电费。每箱即开票（每箱重量约在9.5KG--16.5KG之间）的装卸费最高限价为1.5元/箱（含税）。如采购人需聘请第三方机构进行项目验收，费用包含在投标价格内，由中标人支出。</w:t>
      </w:r>
    </w:p>
    <w:p>
      <w:pPr>
        <w:numPr>
          <w:ilvl w:val="0"/>
          <w:numId w:val="7"/>
        </w:numPr>
        <w:adjustRightInd w:val="0"/>
        <w:spacing w:line="360" w:lineRule="auto"/>
        <w:rPr>
          <w:rFonts w:ascii="宋体" w:hAnsi="宋体" w:cs="宋体"/>
          <w:sz w:val="24"/>
          <w:szCs w:val="24"/>
        </w:rPr>
      </w:pPr>
      <w:r>
        <w:rPr>
          <w:rFonts w:hint="eastAsia" w:ascii="宋体" w:hAnsi="宋体" w:cs="宋体"/>
          <w:sz w:val="24"/>
          <w:szCs w:val="24"/>
        </w:rPr>
        <w:t>★投标报价以总价方式报价并在分项报价表中列明单价，投标价格包括仓库租赁费、管理费（例如安保、监控系统、消防系统、运输司机夜晚的临时休息场所费用、仓库的设备设施等）、税费、项目存在的风险及与项目服务要求相关的一切费用，不包括水电费及装卸费（水电费、装卸费凭发票按实结算，由采购人直接支付）。最高限价为</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ascii="宋体" w:hAnsi="宋体" w:cs="宋体"/>
          <w:sz w:val="24"/>
          <w:szCs w:val="24"/>
          <w:u w:val="single"/>
        </w:rPr>
        <w:t xml:space="preserve"> </w:t>
      </w:r>
      <w:r>
        <w:rPr>
          <w:rFonts w:hint="eastAsia" w:ascii="宋体" w:hAnsi="宋体" w:cs="宋体"/>
          <w:sz w:val="24"/>
          <w:szCs w:val="24"/>
        </w:rPr>
        <w:t>元，最高单价限价为</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ascii="宋体" w:hAnsi="宋体" w:cs="宋体"/>
          <w:sz w:val="24"/>
          <w:szCs w:val="24"/>
          <w:u w:val="single"/>
        </w:rPr>
        <w:t xml:space="preserve"> </w:t>
      </w:r>
      <w:r>
        <w:rPr>
          <w:rFonts w:hint="eastAsia" w:ascii="宋体" w:hAnsi="宋体" w:cs="宋体"/>
          <w:sz w:val="24"/>
          <w:szCs w:val="24"/>
        </w:rPr>
        <w:t>元/平方米/月，凡超过最高限价或最高单价限价的投标报价均为无效投标。</w:t>
      </w:r>
    </w:p>
    <w:p>
      <w:pPr>
        <w:numPr>
          <w:ilvl w:val="0"/>
          <w:numId w:val="7"/>
        </w:numPr>
        <w:adjustRightInd w:val="0"/>
        <w:spacing w:line="360" w:lineRule="auto"/>
        <w:rPr>
          <w:rFonts w:ascii="宋体" w:hAnsi="宋体" w:cs="宋体"/>
          <w:sz w:val="24"/>
          <w:szCs w:val="24"/>
        </w:rPr>
      </w:pPr>
      <w:r>
        <w:rPr>
          <w:rFonts w:hint="eastAsia" w:ascii="宋体" w:hAnsi="宋体" w:cs="宋体"/>
          <w:sz w:val="24"/>
          <w:szCs w:val="24"/>
        </w:rPr>
        <w:t>★投标人需承诺租赁期限内总价及单价不变，投标人应充分考虑在租赁期限内由于市场波动、政策变化以及采购人提前终止合同而引致的风险，一切风险由投标人自行承担。</w:t>
      </w:r>
    </w:p>
    <w:p>
      <w:pPr>
        <w:numPr>
          <w:ilvl w:val="0"/>
          <w:numId w:val="5"/>
        </w:numPr>
        <w:spacing w:line="360" w:lineRule="auto"/>
        <w:jc w:val="left"/>
        <w:rPr>
          <w:rFonts w:ascii="宋体" w:hAnsi="宋体" w:cs="宋体"/>
          <w:b/>
          <w:bCs/>
          <w:sz w:val="24"/>
          <w:szCs w:val="24"/>
        </w:rPr>
      </w:pPr>
      <w:r>
        <w:rPr>
          <w:rFonts w:hint="eastAsia" w:ascii="宋体" w:hAnsi="宋体" w:cs="宋体"/>
          <w:b/>
          <w:bCs/>
          <w:sz w:val="24"/>
          <w:szCs w:val="24"/>
        </w:rPr>
        <w:t>服务期：</w:t>
      </w:r>
    </w:p>
    <w:p>
      <w:pPr>
        <w:tabs>
          <w:tab w:val="left" w:pos="0"/>
        </w:tabs>
        <w:adjustRightInd w:val="0"/>
        <w:spacing w:line="360" w:lineRule="auto"/>
        <w:ind w:firstLine="480" w:firstLineChars="200"/>
        <w:rPr>
          <w:rFonts w:ascii="宋体" w:hAnsi="宋体" w:cs="宋体"/>
          <w:sz w:val="24"/>
          <w:szCs w:val="24"/>
        </w:rPr>
      </w:pPr>
      <w:r>
        <w:rPr>
          <w:rFonts w:hint="eastAsia" w:ascii="宋体" w:hAnsi="宋体" w:cs="宋体"/>
          <w:sz w:val="24"/>
          <w:szCs w:val="24"/>
        </w:rPr>
        <w:t>租赁期限：三年，项目合同一年一签或三年一签。时间为：2023年12月1日至2026年11月30日。采购人实行一年一考核机制，如出现考核不合格或者出现重大事故，则终止合同或不再签订下一年合同。服务期内如因政策变化及采购人场地变化，采购人可随时终止合同，需在终止合同一个月前通知中标人，由此带来的风险，投标人自行承担。</w:t>
      </w:r>
    </w:p>
    <w:p>
      <w:pPr>
        <w:numPr>
          <w:ilvl w:val="0"/>
          <w:numId w:val="5"/>
        </w:numPr>
        <w:spacing w:line="360" w:lineRule="auto"/>
        <w:jc w:val="left"/>
        <w:rPr>
          <w:rFonts w:ascii="宋体" w:hAnsi="宋体" w:cs="宋体"/>
          <w:b/>
          <w:bCs/>
          <w:sz w:val="24"/>
          <w:szCs w:val="24"/>
        </w:rPr>
      </w:pPr>
      <w:r>
        <w:rPr>
          <w:rFonts w:hint="eastAsia" w:ascii="宋体" w:hAnsi="宋体" w:cs="宋体"/>
          <w:b/>
          <w:bCs/>
          <w:sz w:val="24"/>
          <w:szCs w:val="24"/>
        </w:rPr>
        <w:t>安全管理要求</w:t>
      </w:r>
    </w:p>
    <w:p>
      <w:pPr>
        <w:numPr>
          <w:ilvl w:val="0"/>
          <w:numId w:val="8"/>
        </w:numPr>
        <w:adjustRightInd w:val="0"/>
        <w:spacing w:line="360" w:lineRule="auto"/>
        <w:rPr>
          <w:rFonts w:ascii="宋体" w:hAnsi="宋体" w:cs="宋体"/>
          <w:sz w:val="24"/>
          <w:szCs w:val="24"/>
        </w:rPr>
      </w:pPr>
      <w:r>
        <w:rPr>
          <w:rFonts w:hint="eastAsia" w:ascii="宋体" w:hAnsi="宋体" w:cs="宋体"/>
          <w:sz w:val="24"/>
          <w:szCs w:val="24"/>
        </w:rPr>
        <w:t>实行安全目标责任制，中标人为仓库安全负责人。</w:t>
      </w:r>
    </w:p>
    <w:p>
      <w:pPr>
        <w:numPr>
          <w:ilvl w:val="0"/>
          <w:numId w:val="8"/>
        </w:numPr>
        <w:adjustRightInd w:val="0"/>
        <w:spacing w:line="360" w:lineRule="auto"/>
        <w:rPr>
          <w:rFonts w:ascii="宋体" w:hAnsi="宋体" w:cs="宋体"/>
          <w:sz w:val="24"/>
          <w:szCs w:val="24"/>
        </w:rPr>
      </w:pPr>
      <w:r>
        <w:rPr>
          <w:rFonts w:hint="eastAsia" w:ascii="宋体" w:hAnsi="宋体" w:cs="宋体"/>
          <w:sz w:val="24"/>
          <w:szCs w:val="24"/>
        </w:rPr>
        <w:t>为确保物品及仓库的安全，中标人应对拟派该项目的仓库安全管理人员保持相对稳定，不能频繁变动，具备物品存放的常识及绝对保密意识。拟派人员必须遵纪守法、品行良好，无违法犯罪记录。实行岗前保密知识培训。</w:t>
      </w:r>
    </w:p>
    <w:p>
      <w:pPr>
        <w:numPr>
          <w:ilvl w:val="0"/>
          <w:numId w:val="8"/>
        </w:numPr>
        <w:adjustRightInd w:val="0"/>
        <w:spacing w:line="360" w:lineRule="auto"/>
        <w:rPr>
          <w:rFonts w:ascii="宋体" w:hAnsi="宋体" w:cs="宋体"/>
          <w:sz w:val="24"/>
          <w:szCs w:val="24"/>
        </w:rPr>
      </w:pPr>
      <w:r>
        <w:rPr>
          <w:rFonts w:hint="eastAsia" w:ascii="宋体" w:hAnsi="宋体" w:cs="宋体"/>
          <w:sz w:val="24"/>
          <w:szCs w:val="24"/>
        </w:rPr>
        <w:t>实行24小时保安值守，设立“值守登记表”，保证保安人员在岗在位。</w:t>
      </w:r>
    </w:p>
    <w:p>
      <w:pPr>
        <w:numPr>
          <w:ilvl w:val="0"/>
          <w:numId w:val="8"/>
        </w:numPr>
        <w:adjustRightInd w:val="0"/>
        <w:spacing w:line="360" w:lineRule="auto"/>
        <w:rPr>
          <w:rFonts w:ascii="宋体" w:hAnsi="宋体" w:cs="宋体"/>
          <w:sz w:val="24"/>
          <w:szCs w:val="24"/>
        </w:rPr>
      </w:pPr>
      <w:r>
        <w:rPr>
          <w:rFonts w:hint="eastAsia" w:ascii="宋体" w:hAnsi="宋体" w:cs="宋体"/>
          <w:sz w:val="24"/>
          <w:szCs w:val="24"/>
        </w:rPr>
        <w:t>加强防盗措施，每日检查仓库门窗，防止物品被盗。</w:t>
      </w:r>
    </w:p>
    <w:p>
      <w:pPr>
        <w:numPr>
          <w:ilvl w:val="0"/>
          <w:numId w:val="8"/>
        </w:numPr>
        <w:adjustRightInd w:val="0"/>
        <w:spacing w:line="360" w:lineRule="auto"/>
        <w:rPr>
          <w:rFonts w:ascii="宋体" w:hAnsi="宋体" w:cs="宋体"/>
          <w:sz w:val="24"/>
          <w:szCs w:val="24"/>
        </w:rPr>
      </w:pPr>
      <w:r>
        <w:rPr>
          <w:rFonts w:hint="eastAsia" w:ascii="宋体" w:hAnsi="宋体" w:cs="宋体"/>
          <w:sz w:val="24"/>
          <w:szCs w:val="24"/>
        </w:rPr>
        <w:t>注意仓库通风透气、防潮及防火措施，仓库内不准存放易燃易爆物品。仓库内严禁一切明火，严格执行仓库防火安全管理规则，仓库内禁止吸烟，严禁携带火源、火种进入仓库。</w:t>
      </w:r>
    </w:p>
    <w:p>
      <w:pPr>
        <w:numPr>
          <w:ilvl w:val="0"/>
          <w:numId w:val="8"/>
        </w:numPr>
        <w:adjustRightInd w:val="0"/>
        <w:spacing w:line="360" w:lineRule="auto"/>
        <w:rPr>
          <w:rFonts w:ascii="宋体" w:hAnsi="宋体" w:cs="宋体"/>
          <w:sz w:val="24"/>
          <w:szCs w:val="24"/>
        </w:rPr>
      </w:pPr>
      <w:r>
        <w:rPr>
          <w:rFonts w:hint="eastAsia" w:ascii="宋体" w:hAnsi="宋体" w:cs="宋体"/>
          <w:sz w:val="24"/>
          <w:szCs w:val="24"/>
        </w:rPr>
        <w:t>加强防火消防设施检查，确保灭火设施配置齐全且在有效期内。保安人员应熟悉消防知识及熟练掌握消防器具的使用。</w:t>
      </w:r>
    </w:p>
    <w:p>
      <w:pPr>
        <w:numPr>
          <w:ilvl w:val="0"/>
          <w:numId w:val="8"/>
        </w:numPr>
        <w:adjustRightInd w:val="0"/>
        <w:spacing w:line="360" w:lineRule="auto"/>
        <w:rPr>
          <w:rFonts w:ascii="宋体" w:hAnsi="宋体" w:cs="宋体"/>
          <w:sz w:val="24"/>
          <w:szCs w:val="24"/>
        </w:rPr>
      </w:pPr>
      <w:r>
        <w:rPr>
          <w:rFonts w:hint="eastAsia" w:ascii="宋体" w:hAnsi="宋体" w:cs="宋体"/>
          <w:sz w:val="24"/>
          <w:szCs w:val="24"/>
        </w:rPr>
        <w:t>防“四害”设施齐全，措施安全可靠。</w:t>
      </w:r>
    </w:p>
    <w:p>
      <w:pPr>
        <w:numPr>
          <w:ilvl w:val="0"/>
          <w:numId w:val="8"/>
        </w:numPr>
        <w:adjustRightInd w:val="0"/>
        <w:spacing w:line="360" w:lineRule="auto"/>
        <w:rPr>
          <w:rFonts w:ascii="宋体" w:hAnsi="宋体" w:cs="宋体"/>
          <w:sz w:val="24"/>
          <w:szCs w:val="24"/>
        </w:rPr>
      </w:pPr>
      <w:r>
        <w:rPr>
          <w:rFonts w:hint="eastAsia" w:ascii="宋体" w:hAnsi="宋体" w:cs="宋体"/>
          <w:sz w:val="24"/>
          <w:szCs w:val="24"/>
        </w:rPr>
        <w:t>落实安全防范措施，加强日常落实情况的检查，发现隐患及时整改。</w:t>
      </w:r>
    </w:p>
    <w:p>
      <w:pPr>
        <w:numPr>
          <w:ilvl w:val="0"/>
          <w:numId w:val="8"/>
        </w:numPr>
        <w:adjustRightInd w:val="0"/>
        <w:spacing w:line="360" w:lineRule="auto"/>
        <w:rPr>
          <w:rFonts w:ascii="宋体" w:hAnsi="宋体" w:cs="宋体"/>
          <w:sz w:val="24"/>
          <w:szCs w:val="24"/>
        </w:rPr>
      </w:pPr>
      <w:r>
        <w:rPr>
          <w:rFonts w:hint="eastAsia" w:ascii="宋体" w:hAnsi="宋体" w:cs="宋体"/>
          <w:sz w:val="24"/>
          <w:szCs w:val="24"/>
        </w:rPr>
        <w:t>中标人须切实履行仓库安全管理责任，如未能履行安全管理相关工作造成采购人损失的，由此产生的费用由中标人承担，采购人有权向中标人追溯赔偿。</w:t>
      </w:r>
    </w:p>
    <w:p>
      <w:pPr>
        <w:numPr>
          <w:ilvl w:val="0"/>
          <w:numId w:val="5"/>
        </w:numPr>
        <w:spacing w:line="360" w:lineRule="auto"/>
        <w:jc w:val="left"/>
        <w:rPr>
          <w:rFonts w:ascii="宋体" w:hAnsi="宋体" w:cs="宋体"/>
          <w:b/>
          <w:bCs/>
          <w:sz w:val="24"/>
          <w:szCs w:val="24"/>
        </w:rPr>
      </w:pPr>
      <w:r>
        <w:rPr>
          <w:rFonts w:hint="eastAsia" w:ascii="宋体" w:hAnsi="宋体" w:cs="宋体"/>
          <w:b/>
          <w:bCs/>
          <w:sz w:val="24"/>
          <w:szCs w:val="24"/>
        </w:rPr>
        <w:t>其他要求</w:t>
      </w:r>
    </w:p>
    <w:p>
      <w:pPr>
        <w:numPr>
          <w:ilvl w:val="0"/>
          <w:numId w:val="9"/>
        </w:numPr>
        <w:adjustRightInd w:val="0"/>
        <w:spacing w:line="360" w:lineRule="auto"/>
        <w:rPr>
          <w:rFonts w:ascii="宋体" w:hAnsi="宋体" w:cs="宋体"/>
          <w:sz w:val="24"/>
          <w:szCs w:val="24"/>
        </w:rPr>
      </w:pPr>
      <w:r>
        <w:rPr>
          <w:rFonts w:hint="eastAsia" w:ascii="宋体" w:hAnsi="宋体" w:cs="宋体"/>
          <w:sz w:val="24"/>
          <w:szCs w:val="24"/>
        </w:rPr>
        <w:t>履约保证金递交要求：</w:t>
      </w:r>
    </w:p>
    <w:p>
      <w:pPr>
        <w:numPr>
          <w:ilvl w:val="2"/>
          <w:numId w:val="10"/>
        </w:numPr>
        <w:tabs>
          <w:tab w:val="left" w:pos="0"/>
        </w:tabs>
        <w:adjustRightInd w:val="0"/>
        <w:spacing w:line="360" w:lineRule="auto"/>
        <w:rPr>
          <w:rFonts w:ascii="宋体" w:hAnsi="宋体" w:cs="宋体"/>
          <w:sz w:val="24"/>
          <w:szCs w:val="24"/>
        </w:rPr>
      </w:pPr>
      <w:r>
        <w:rPr>
          <w:rFonts w:hint="eastAsia" w:ascii="宋体" w:hAnsi="宋体" w:cs="宋体"/>
          <w:sz w:val="24"/>
          <w:szCs w:val="24"/>
        </w:rPr>
        <w:t>履约保证金用于补偿采购人因中标人不能完全履行其合同义务而蒙受的损失或中标人违反合同而作出的处罚。</w:t>
      </w:r>
    </w:p>
    <w:p>
      <w:pPr>
        <w:numPr>
          <w:ilvl w:val="2"/>
          <w:numId w:val="10"/>
        </w:numPr>
        <w:tabs>
          <w:tab w:val="left" w:pos="0"/>
        </w:tabs>
        <w:adjustRightInd w:val="0"/>
        <w:spacing w:line="360" w:lineRule="auto"/>
        <w:rPr>
          <w:rFonts w:ascii="宋体" w:hAnsi="宋体" w:cs="宋体"/>
          <w:sz w:val="24"/>
          <w:szCs w:val="24"/>
        </w:rPr>
      </w:pPr>
      <w:r>
        <w:rPr>
          <w:rFonts w:hint="eastAsia" w:ascii="宋体" w:hAnsi="宋体" w:cs="宋体"/>
          <w:sz w:val="24"/>
          <w:szCs w:val="24"/>
        </w:rPr>
        <w:t>中标人收到中标通知书之日起5个工作日内，应通过以支票、汇票、本票或者金融机构出具的银行保函等非现金形式提交给采购人，履约保证金金额为合同金额的0.5%，采购人收到履约保证金后，中标人应配合采购人尽快签订项目合同。上述任一项未落实的，将视为中标人放弃中标的权利。采购人有权选择按规定选出中标候选人为本项目的中标人或对本项目重新进行招标。</w:t>
      </w:r>
    </w:p>
    <w:p>
      <w:pPr>
        <w:numPr>
          <w:ilvl w:val="2"/>
          <w:numId w:val="10"/>
        </w:numPr>
        <w:tabs>
          <w:tab w:val="left" w:pos="0"/>
        </w:tabs>
        <w:adjustRightInd w:val="0"/>
        <w:spacing w:line="360" w:lineRule="auto"/>
        <w:rPr>
          <w:rFonts w:ascii="宋体" w:hAnsi="宋体" w:cs="宋体"/>
          <w:sz w:val="24"/>
          <w:szCs w:val="24"/>
        </w:rPr>
      </w:pPr>
      <w:r>
        <w:rPr>
          <w:rFonts w:hint="eastAsia" w:ascii="宋体" w:hAnsi="宋体" w:cs="宋体"/>
          <w:sz w:val="24"/>
          <w:szCs w:val="24"/>
        </w:rPr>
        <w:t>如果中标人没有按照要求提交履约保证金，则自动放弃中标资格。</w:t>
      </w:r>
    </w:p>
    <w:p>
      <w:pPr>
        <w:numPr>
          <w:ilvl w:val="2"/>
          <w:numId w:val="10"/>
        </w:numPr>
        <w:tabs>
          <w:tab w:val="left" w:pos="0"/>
        </w:tabs>
        <w:adjustRightInd w:val="0"/>
        <w:spacing w:line="360" w:lineRule="auto"/>
        <w:rPr>
          <w:rFonts w:ascii="宋体" w:hAnsi="宋体" w:cs="宋体"/>
          <w:sz w:val="24"/>
          <w:szCs w:val="24"/>
        </w:rPr>
      </w:pPr>
      <w:r>
        <w:rPr>
          <w:rFonts w:hint="eastAsia" w:ascii="宋体" w:hAnsi="宋体" w:cs="宋体"/>
          <w:sz w:val="24"/>
          <w:szCs w:val="24"/>
        </w:rPr>
        <w:t>服务期满，中标人的全部单项合同义务履行完毕，无违约责任或违约责任已处理完成，经采购人验收合格。采购人在30个工作日内减去处置、扣减金额（如有）后无息退回履约保证金。</w:t>
      </w:r>
    </w:p>
    <w:p>
      <w:pPr>
        <w:numPr>
          <w:ilvl w:val="0"/>
          <w:numId w:val="9"/>
        </w:numPr>
        <w:adjustRightInd w:val="0"/>
        <w:spacing w:line="360" w:lineRule="auto"/>
        <w:rPr>
          <w:rFonts w:ascii="宋体" w:hAnsi="宋体" w:cs="宋体"/>
          <w:sz w:val="24"/>
          <w:szCs w:val="24"/>
        </w:rPr>
      </w:pPr>
      <w:r>
        <w:rPr>
          <w:rFonts w:hint="eastAsia" w:ascii="宋体" w:hAnsi="宋体" w:cs="宋体"/>
          <w:sz w:val="24"/>
          <w:szCs w:val="24"/>
        </w:rPr>
        <w:t>本项目为交钥匙承包项目，中标人承包及负责招标文件对中标人要求的一切事宜及责任。</w:t>
      </w:r>
    </w:p>
    <w:p>
      <w:pPr>
        <w:numPr>
          <w:ilvl w:val="0"/>
          <w:numId w:val="9"/>
        </w:numPr>
        <w:adjustRightInd w:val="0"/>
        <w:spacing w:line="360" w:lineRule="auto"/>
        <w:rPr>
          <w:rFonts w:ascii="宋体" w:hAnsi="宋体" w:cs="宋体"/>
          <w:sz w:val="24"/>
          <w:szCs w:val="24"/>
        </w:rPr>
      </w:pPr>
      <w:r>
        <w:rPr>
          <w:rFonts w:hint="eastAsia" w:ascii="宋体" w:hAnsi="宋体" w:cs="宋体"/>
          <w:sz w:val="24"/>
          <w:szCs w:val="24"/>
        </w:rPr>
        <w:t>中标人不得以任何方式转包本项目。</w:t>
      </w:r>
    </w:p>
    <w:p>
      <w:pPr>
        <w:numPr>
          <w:ilvl w:val="0"/>
          <w:numId w:val="9"/>
        </w:numPr>
        <w:adjustRightInd w:val="0"/>
        <w:spacing w:line="360" w:lineRule="auto"/>
        <w:rPr>
          <w:rFonts w:ascii="宋体" w:hAnsi="宋体" w:cs="宋体"/>
          <w:sz w:val="24"/>
          <w:szCs w:val="24"/>
        </w:rPr>
      </w:pPr>
      <w:r>
        <w:rPr>
          <w:rFonts w:hint="eastAsia" w:ascii="宋体" w:hAnsi="宋体" w:cs="宋体"/>
          <w:sz w:val="24"/>
          <w:szCs w:val="24"/>
        </w:rPr>
        <w:t>本项目不接受联合体参与投标。</w:t>
      </w:r>
    </w:p>
    <w:p>
      <w:pPr>
        <w:numPr>
          <w:ilvl w:val="0"/>
          <w:numId w:val="9"/>
        </w:numPr>
        <w:adjustRightInd w:val="0"/>
        <w:spacing w:line="360" w:lineRule="auto"/>
        <w:rPr>
          <w:rFonts w:ascii="宋体" w:hAnsi="宋体" w:cs="宋体"/>
          <w:sz w:val="24"/>
          <w:szCs w:val="24"/>
        </w:rPr>
      </w:pPr>
      <w:r>
        <w:rPr>
          <w:rFonts w:hint="eastAsia" w:ascii="宋体" w:hAnsi="宋体" w:cs="宋体"/>
          <w:sz w:val="24"/>
          <w:szCs w:val="24"/>
        </w:rPr>
        <w:t>本项目采购标的对应的中小企业划分标准所属行业为：租赁和商务服务业。</w:t>
      </w:r>
    </w:p>
    <w:p>
      <w:pPr>
        <w:numPr>
          <w:ilvl w:val="0"/>
          <w:numId w:val="9"/>
        </w:numPr>
        <w:adjustRightInd w:val="0"/>
        <w:spacing w:line="360" w:lineRule="auto"/>
        <w:rPr>
          <w:rFonts w:ascii="宋体" w:hAnsi="宋体" w:cs="宋体"/>
          <w:sz w:val="24"/>
          <w:szCs w:val="24"/>
        </w:rPr>
      </w:pPr>
      <w:r>
        <w:rPr>
          <w:rFonts w:hint="eastAsia" w:ascii="宋体" w:hAnsi="宋体" w:cs="宋体"/>
          <w:sz w:val="24"/>
          <w:szCs w:val="24"/>
        </w:rPr>
        <w:t>本项目不专门面向中小企业预留采购份额，理由如下：属于《政府采购促进中小企业发展管理办法》第六条第三款情形。</w:t>
      </w:r>
    </w:p>
    <w:p>
      <w:pPr>
        <w:numPr>
          <w:ilvl w:val="0"/>
          <w:numId w:val="9"/>
        </w:numPr>
        <w:adjustRightInd w:val="0"/>
        <w:spacing w:line="360" w:lineRule="auto"/>
        <w:rPr>
          <w:rFonts w:ascii="宋体" w:hAnsi="宋体" w:cs="宋体"/>
          <w:sz w:val="24"/>
          <w:szCs w:val="24"/>
        </w:rPr>
      </w:pPr>
      <w:r>
        <w:rPr>
          <w:rFonts w:hint="eastAsia" w:ascii="宋体" w:hAnsi="宋体" w:cs="宋体"/>
          <w:sz w:val="24"/>
          <w:szCs w:val="24"/>
        </w:rPr>
        <w:t>考核</w:t>
      </w:r>
    </w:p>
    <w:p>
      <w:pPr>
        <w:numPr>
          <w:ilvl w:val="2"/>
          <w:numId w:val="11"/>
        </w:numPr>
        <w:tabs>
          <w:tab w:val="left" w:pos="0"/>
        </w:tabs>
        <w:adjustRightInd w:val="0"/>
        <w:spacing w:line="360" w:lineRule="auto"/>
        <w:rPr>
          <w:rFonts w:ascii="宋体" w:hAnsi="宋体" w:cs="宋体"/>
          <w:sz w:val="24"/>
          <w:szCs w:val="24"/>
        </w:rPr>
      </w:pPr>
      <w:r>
        <w:rPr>
          <w:rFonts w:hint="eastAsia" w:ascii="宋体" w:hAnsi="宋体" w:cs="宋体"/>
          <w:sz w:val="24"/>
          <w:szCs w:val="24"/>
        </w:rPr>
        <w:t>采购人实行一年一考核机制，如出现考核不合格或者出现重大事故，则终止合同或不再签订下一年合同。</w:t>
      </w:r>
    </w:p>
    <w:p>
      <w:pPr>
        <w:numPr>
          <w:ilvl w:val="2"/>
          <w:numId w:val="11"/>
        </w:numPr>
        <w:tabs>
          <w:tab w:val="left" w:pos="0"/>
        </w:tabs>
        <w:adjustRightInd w:val="0"/>
        <w:spacing w:line="360" w:lineRule="auto"/>
        <w:rPr>
          <w:rFonts w:ascii="宋体" w:hAnsi="宋体" w:cs="宋体"/>
          <w:sz w:val="24"/>
          <w:szCs w:val="24"/>
        </w:rPr>
      </w:pPr>
      <w:r>
        <w:rPr>
          <w:rFonts w:hint="eastAsia" w:ascii="宋体" w:hAnsi="宋体" w:cs="宋体"/>
          <w:sz w:val="24"/>
          <w:szCs w:val="24"/>
        </w:rPr>
        <w:t>考核表详见下表（100分制）：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pStyle w:val="2"/>
              <w:jc w:val="center"/>
            </w:pPr>
            <w:r>
              <w:rPr>
                <w:rFonts w:hint="eastAsia"/>
              </w:rPr>
              <w:t>考核内容</w:t>
            </w:r>
          </w:p>
        </w:tc>
        <w:tc>
          <w:tcPr>
            <w:tcW w:w="2841" w:type="dxa"/>
            <w:vAlign w:val="center"/>
          </w:tcPr>
          <w:p>
            <w:pPr>
              <w:pStyle w:val="2"/>
              <w:jc w:val="center"/>
            </w:pPr>
            <w:r>
              <w:rPr>
                <w:rFonts w:hint="eastAsia"/>
              </w:rPr>
              <w:t>规定事项</w:t>
            </w:r>
          </w:p>
        </w:tc>
        <w:tc>
          <w:tcPr>
            <w:tcW w:w="2841" w:type="dxa"/>
            <w:vAlign w:val="center"/>
          </w:tcPr>
          <w:p>
            <w:pPr>
              <w:pStyle w:val="2"/>
              <w:jc w:val="center"/>
            </w:pPr>
            <w:r>
              <w:rPr>
                <w:rFonts w:hint="eastAsia"/>
              </w:rPr>
              <w:t>奖罚规定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pStyle w:val="2"/>
              <w:jc w:val="center"/>
            </w:pPr>
            <w:r>
              <w:rPr>
                <w:rFonts w:hint="eastAsia"/>
              </w:rPr>
              <w:t>装卸货人员管理</w:t>
            </w:r>
          </w:p>
        </w:tc>
        <w:tc>
          <w:tcPr>
            <w:tcW w:w="2841" w:type="dxa"/>
            <w:vAlign w:val="center"/>
          </w:tcPr>
          <w:p>
            <w:pPr>
              <w:pStyle w:val="2"/>
              <w:jc w:val="center"/>
            </w:pPr>
            <w:r>
              <w:rPr>
                <w:rFonts w:hint="eastAsia"/>
              </w:rPr>
              <w:t>未按通知时间到现场，迟到30-60分钟</w:t>
            </w:r>
          </w:p>
        </w:tc>
        <w:tc>
          <w:tcPr>
            <w:tcW w:w="2841" w:type="dxa"/>
            <w:vAlign w:val="center"/>
          </w:tcPr>
          <w:p>
            <w:pPr>
              <w:pStyle w:val="2"/>
              <w:jc w:val="center"/>
            </w:pPr>
            <w:r>
              <w:rPr>
                <w:rFonts w:hint="eastAsia"/>
              </w:rPr>
              <w:t>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pStyle w:val="2"/>
              <w:jc w:val="center"/>
            </w:pPr>
          </w:p>
        </w:tc>
        <w:tc>
          <w:tcPr>
            <w:tcW w:w="2841" w:type="dxa"/>
            <w:vAlign w:val="center"/>
          </w:tcPr>
          <w:p>
            <w:pPr>
              <w:pStyle w:val="2"/>
              <w:jc w:val="center"/>
            </w:pPr>
            <w:r>
              <w:rPr>
                <w:rFonts w:hint="eastAsia"/>
              </w:rPr>
              <w:t>未按通知时间到现场</w:t>
            </w:r>
            <w:r>
              <w:rPr>
                <w:rFonts w:hint="eastAsia"/>
                <w:lang w:eastAsia="zh-CN"/>
              </w:rPr>
              <w:t>，</w:t>
            </w:r>
            <w:r>
              <w:rPr>
                <w:rFonts w:hint="eastAsia"/>
              </w:rPr>
              <w:t>迟到60分钟以上</w:t>
            </w:r>
          </w:p>
        </w:tc>
        <w:tc>
          <w:tcPr>
            <w:tcW w:w="2841" w:type="dxa"/>
            <w:vAlign w:val="center"/>
          </w:tcPr>
          <w:p>
            <w:pPr>
              <w:pStyle w:val="2"/>
              <w:jc w:val="center"/>
            </w:pPr>
            <w:r>
              <w:rPr>
                <w:rFonts w:hint="eastAsia"/>
              </w:rPr>
              <w:t>一次扣2分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center"/>
          </w:tcPr>
          <w:p>
            <w:pPr>
              <w:pStyle w:val="2"/>
              <w:jc w:val="center"/>
            </w:pPr>
            <w:r>
              <w:rPr>
                <w:rFonts w:hint="eastAsia"/>
              </w:rPr>
              <w:t>现场管理</w:t>
            </w:r>
          </w:p>
        </w:tc>
        <w:tc>
          <w:tcPr>
            <w:tcW w:w="2841" w:type="dxa"/>
            <w:vAlign w:val="center"/>
          </w:tcPr>
          <w:p>
            <w:pPr>
              <w:pStyle w:val="2"/>
              <w:jc w:val="center"/>
            </w:pPr>
            <w:r>
              <w:rPr>
                <w:rFonts w:hint="eastAsia"/>
              </w:rPr>
              <w:t>仓库外通道堆放杂乱，影响装卸货</w:t>
            </w:r>
          </w:p>
        </w:tc>
        <w:tc>
          <w:tcPr>
            <w:tcW w:w="2841" w:type="dxa"/>
            <w:vAlign w:val="center"/>
          </w:tcPr>
          <w:p>
            <w:pPr>
              <w:pStyle w:val="2"/>
              <w:jc w:val="center"/>
            </w:pPr>
            <w:r>
              <w:rPr>
                <w:rFonts w:hint="eastAsia"/>
              </w:rPr>
              <w:t>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pStyle w:val="2"/>
              <w:jc w:val="center"/>
            </w:pPr>
            <w:r>
              <w:rPr>
                <w:rFonts w:hint="eastAsia"/>
              </w:rPr>
              <w:t>监控管理</w:t>
            </w:r>
          </w:p>
        </w:tc>
        <w:tc>
          <w:tcPr>
            <w:tcW w:w="2841" w:type="dxa"/>
            <w:vAlign w:val="center"/>
          </w:tcPr>
          <w:p>
            <w:pPr>
              <w:pStyle w:val="2"/>
              <w:jc w:val="center"/>
            </w:pPr>
            <w:r>
              <w:rPr>
                <w:rFonts w:hint="eastAsia"/>
              </w:rPr>
              <w:t>监控遗失</w:t>
            </w:r>
          </w:p>
        </w:tc>
        <w:tc>
          <w:tcPr>
            <w:tcW w:w="2841" w:type="dxa"/>
            <w:vAlign w:val="center"/>
          </w:tcPr>
          <w:p>
            <w:pPr>
              <w:pStyle w:val="2"/>
              <w:jc w:val="center"/>
            </w:pPr>
            <w:r>
              <w:rPr>
                <w:rFonts w:hint="eastAsia"/>
              </w:rPr>
              <w:t>一次扣10分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pStyle w:val="2"/>
              <w:jc w:val="center"/>
            </w:pPr>
          </w:p>
        </w:tc>
        <w:tc>
          <w:tcPr>
            <w:tcW w:w="2841" w:type="dxa"/>
            <w:vAlign w:val="center"/>
          </w:tcPr>
          <w:p>
            <w:pPr>
              <w:pStyle w:val="2"/>
              <w:jc w:val="center"/>
            </w:pPr>
            <w:r>
              <w:rPr>
                <w:rFonts w:hint="eastAsia"/>
              </w:rPr>
              <w:t>监控模糊</w:t>
            </w:r>
          </w:p>
        </w:tc>
        <w:tc>
          <w:tcPr>
            <w:tcW w:w="2841" w:type="dxa"/>
            <w:vAlign w:val="center"/>
          </w:tcPr>
          <w:p>
            <w:pPr>
              <w:pStyle w:val="2"/>
              <w:jc w:val="center"/>
            </w:pPr>
            <w:r>
              <w:rPr>
                <w:rFonts w:hint="eastAsia"/>
              </w:rPr>
              <w:t>一次扣5分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pStyle w:val="2"/>
              <w:jc w:val="center"/>
            </w:pPr>
          </w:p>
        </w:tc>
        <w:tc>
          <w:tcPr>
            <w:tcW w:w="2841" w:type="dxa"/>
            <w:vAlign w:val="center"/>
          </w:tcPr>
          <w:p>
            <w:pPr>
              <w:pStyle w:val="2"/>
              <w:jc w:val="center"/>
            </w:pPr>
            <w:r>
              <w:rPr>
                <w:rFonts w:hint="eastAsia"/>
              </w:rPr>
              <w:t>未能在甲方要求提供监控后2个工作日内提供</w:t>
            </w:r>
          </w:p>
        </w:tc>
        <w:tc>
          <w:tcPr>
            <w:tcW w:w="2841" w:type="dxa"/>
            <w:vAlign w:val="center"/>
          </w:tcPr>
          <w:p>
            <w:pPr>
              <w:pStyle w:val="2"/>
              <w:jc w:val="center"/>
            </w:pPr>
            <w:r>
              <w:rPr>
                <w:rFonts w:hint="eastAsia"/>
              </w:rPr>
              <w:t>一次扣1分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restart"/>
            <w:vAlign w:val="center"/>
          </w:tcPr>
          <w:p>
            <w:pPr>
              <w:pStyle w:val="2"/>
              <w:jc w:val="center"/>
            </w:pPr>
            <w:r>
              <w:rPr>
                <w:rFonts w:hint="eastAsia"/>
              </w:rPr>
              <w:t>安全管理</w:t>
            </w:r>
          </w:p>
        </w:tc>
        <w:tc>
          <w:tcPr>
            <w:tcW w:w="2841" w:type="dxa"/>
            <w:vAlign w:val="center"/>
          </w:tcPr>
          <w:p>
            <w:pPr>
              <w:pStyle w:val="2"/>
              <w:jc w:val="center"/>
            </w:pPr>
            <w:r>
              <w:rPr>
                <w:rFonts w:hint="eastAsia"/>
              </w:rPr>
              <w:t>仓库失窃</w:t>
            </w:r>
          </w:p>
        </w:tc>
        <w:tc>
          <w:tcPr>
            <w:tcW w:w="2841" w:type="dxa"/>
            <w:vAlign w:val="center"/>
          </w:tcPr>
          <w:p>
            <w:pPr>
              <w:pStyle w:val="2"/>
              <w:jc w:val="center"/>
            </w:pP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pStyle w:val="2"/>
              <w:jc w:val="center"/>
            </w:pPr>
          </w:p>
        </w:tc>
        <w:tc>
          <w:tcPr>
            <w:tcW w:w="2841" w:type="dxa"/>
            <w:vAlign w:val="center"/>
          </w:tcPr>
          <w:p>
            <w:pPr>
              <w:pStyle w:val="2"/>
              <w:jc w:val="center"/>
            </w:pPr>
            <w:r>
              <w:rPr>
                <w:rFonts w:hint="eastAsia"/>
              </w:rPr>
              <w:t>仓库失火（不可抗力因素除外）</w:t>
            </w:r>
          </w:p>
        </w:tc>
        <w:tc>
          <w:tcPr>
            <w:tcW w:w="2841" w:type="dxa"/>
            <w:vAlign w:val="center"/>
          </w:tcPr>
          <w:p>
            <w:pPr>
              <w:pStyle w:val="2"/>
              <w:jc w:val="center"/>
            </w:pP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pStyle w:val="2"/>
              <w:jc w:val="center"/>
            </w:pPr>
          </w:p>
        </w:tc>
        <w:tc>
          <w:tcPr>
            <w:tcW w:w="2841" w:type="dxa"/>
            <w:vAlign w:val="center"/>
          </w:tcPr>
          <w:p>
            <w:pPr>
              <w:pStyle w:val="2"/>
              <w:jc w:val="center"/>
            </w:pPr>
            <w:r>
              <w:rPr>
                <w:rFonts w:hint="eastAsia"/>
              </w:rPr>
              <w:t>仓库被淹（不可抗力因素除外）</w:t>
            </w:r>
          </w:p>
        </w:tc>
        <w:tc>
          <w:tcPr>
            <w:tcW w:w="2841" w:type="dxa"/>
            <w:vAlign w:val="center"/>
          </w:tcPr>
          <w:p>
            <w:pPr>
              <w:pStyle w:val="2"/>
              <w:jc w:val="center"/>
            </w:pPr>
            <w:r>
              <w:rPr>
                <w:rFonts w:hint="eastAsia"/>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Merge w:val="continue"/>
            <w:vAlign w:val="center"/>
          </w:tcPr>
          <w:p>
            <w:pPr>
              <w:pStyle w:val="2"/>
              <w:jc w:val="center"/>
            </w:pPr>
          </w:p>
        </w:tc>
        <w:tc>
          <w:tcPr>
            <w:tcW w:w="2841" w:type="dxa"/>
            <w:vAlign w:val="center"/>
          </w:tcPr>
          <w:p>
            <w:pPr>
              <w:pStyle w:val="2"/>
              <w:jc w:val="center"/>
            </w:pPr>
            <w:r>
              <w:rPr>
                <w:rFonts w:hint="eastAsia"/>
              </w:rPr>
              <w:t>仓库内资料遭破坏</w:t>
            </w:r>
          </w:p>
        </w:tc>
        <w:tc>
          <w:tcPr>
            <w:tcW w:w="2841" w:type="dxa"/>
            <w:vAlign w:val="center"/>
          </w:tcPr>
          <w:p>
            <w:pPr>
              <w:pStyle w:val="2"/>
              <w:jc w:val="center"/>
            </w:pPr>
            <w:r>
              <w:rPr>
                <w:rFonts w:hint="eastAsia"/>
              </w:rPr>
              <w:t>不合格</w:t>
            </w:r>
          </w:p>
        </w:tc>
      </w:tr>
    </w:tbl>
    <w:p>
      <w:pPr>
        <w:pStyle w:val="2"/>
      </w:pPr>
      <w:r>
        <w:rPr>
          <w:rFonts w:hint="eastAsia"/>
        </w:rPr>
        <w:t>注：考核分数扣至80分以下的判定为不合格。</w:t>
      </w:r>
    </w:p>
    <w:p>
      <w:pPr>
        <w:pStyle w:val="7"/>
        <w:shd w:val="clear" w:color="auto" w:fill="FFFFFF"/>
        <w:spacing w:before="75" w:beforeAutospacing="0" w:after="330" w:afterAutospacing="0" w:line="360" w:lineRule="auto"/>
        <w:textAlignment w:val="baseline"/>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321F4F"/>
    <w:multiLevelType w:val="singleLevel"/>
    <w:tmpl w:val="84321F4F"/>
    <w:lvl w:ilvl="0" w:tentative="0">
      <w:start w:val="1"/>
      <w:numFmt w:val="decimal"/>
      <w:suff w:val="nothing"/>
      <w:lvlText w:val="5.%1"/>
      <w:lvlJc w:val="left"/>
      <w:pPr>
        <w:tabs>
          <w:tab w:val="left" w:pos="0"/>
        </w:tabs>
      </w:pPr>
      <w:rPr>
        <w:rFonts w:hint="default" w:ascii="宋体" w:hAnsi="宋体" w:eastAsia="宋体" w:cs="宋体"/>
      </w:rPr>
    </w:lvl>
  </w:abstractNum>
  <w:abstractNum w:abstractNumId="1">
    <w:nsid w:val="882F971F"/>
    <w:multiLevelType w:val="multilevel"/>
    <w:tmpl w:val="882F971F"/>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E565B071"/>
    <w:multiLevelType w:val="singleLevel"/>
    <w:tmpl w:val="E565B071"/>
    <w:lvl w:ilvl="0" w:tentative="0">
      <w:start w:val="1"/>
      <w:numFmt w:val="decimal"/>
      <w:suff w:val="nothing"/>
      <w:lvlText w:val="4.%1"/>
      <w:lvlJc w:val="left"/>
      <w:pPr>
        <w:tabs>
          <w:tab w:val="left" w:pos="0"/>
        </w:tabs>
      </w:pPr>
      <w:rPr>
        <w:rFonts w:hint="default" w:ascii="宋体" w:hAnsi="宋体" w:eastAsia="宋体" w:cs="宋体"/>
      </w:rPr>
    </w:lvl>
  </w:abstractNum>
  <w:abstractNum w:abstractNumId="3">
    <w:nsid w:val="05A3331A"/>
    <w:multiLevelType w:val="singleLevel"/>
    <w:tmpl w:val="05A3331A"/>
    <w:lvl w:ilvl="0" w:tentative="0">
      <w:start w:val="1"/>
      <w:numFmt w:val="decimal"/>
      <w:suff w:val="nothing"/>
      <w:lvlText w:val="1.%1"/>
      <w:lvlJc w:val="left"/>
      <w:pPr>
        <w:tabs>
          <w:tab w:val="left" w:pos="0"/>
        </w:tabs>
      </w:pPr>
      <w:rPr>
        <w:rFonts w:hint="default" w:ascii="宋体" w:hAnsi="宋体" w:eastAsia="宋体" w:cs="宋体"/>
      </w:rPr>
    </w:lvl>
  </w:abstractNum>
  <w:abstractNum w:abstractNumId="4">
    <w:nsid w:val="1017B250"/>
    <w:multiLevelType w:val="singleLevel"/>
    <w:tmpl w:val="1017B250"/>
    <w:lvl w:ilvl="0" w:tentative="0">
      <w:start w:val="1"/>
      <w:numFmt w:val="decimal"/>
      <w:suff w:val="nothing"/>
      <w:lvlText w:val="2.%1"/>
      <w:lvlJc w:val="left"/>
      <w:pPr>
        <w:tabs>
          <w:tab w:val="left" w:pos="0"/>
        </w:tabs>
      </w:pPr>
      <w:rPr>
        <w:rFonts w:hint="default" w:ascii="宋体" w:hAnsi="宋体" w:eastAsia="宋体" w:cs="宋体"/>
      </w:rPr>
    </w:lvl>
  </w:abstractNum>
  <w:abstractNum w:abstractNumId="5">
    <w:nsid w:val="3C1ED187"/>
    <w:multiLevelType w:val="singleLevel"/>
    <w:tmpl w:val="3C1ED187"/>
    <w:lvl w:ilvl="0" w:tentative="0">
      <w:start w:val="1"/>
      <w:numFmt w:val="chineseCounting"/>
      <w:suff w:val="nothing"/>
      <w:lvlText w:val="（%1）"/>
      <w:lvlJc w:val="left"/>
      <w:pPr>
        <w:ind w:left="0" w:firstLine="420"/>
      </w:pPr>
      <w:rPr>
        <w:rFonts w:hint="eastAsia"/>
      </w:rPr>
    </w:lvl>
  </w:abstractNum>
  <w:abstractNum w:abstractNumId="6">
    <w:nsid w:val="51994620"/>
    <w:multiLevelType w:val="multilevel"/>
    <w:tmpl w:val="51994620"/>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5.%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5E8BB4EE"/>
    <w:multiLevelType w:val="singleLevel"/>
    <w:tmpl w:val="5E8BB4EE"/>
    <w:lvl w:ilvl="0" w:tentative="0">
      <w:start w:val="1"/>
      <w:numFmt w:val="decimal"/>
      <w:suff w:val="nothing"/>
      <w:lvlText w:val="2.%1"/>
      <w:lvlJc w:val="left"/>
      <w:pPr>
        <w:tabs>
          <w:tab w:val="left" w:pos="0"/>
        </w:tabs>
      </w:pPr>
      <w:rPr>
        <w:rFonts w:hint="default" w:ascii="宋体" w:hAnsi="宋体" w:eastAsia="宋体" w:cs="宋体"/>
      </w:rPr>
    </w:lvl>
  </w:abstractNum>
  <w:abstractNum w:abstractNumId="8">
    <w:nsid w:val="6D7F073A"/>
    <w:multiLevelType w:val="multilevel"/>
    <w:tmpl w:val="6D7F073A"/>
    <w:lvl w:ilvl="0" w:tentative="0">
      <w:start w:val="1"/>
      <w:numFmt w:val="decimal"/>
      <w:lvlText w:val="%1."/>
      <w:lvlJc w:val="left"/>
      <w:pPr>
        <w:ind w:left="425" w:hanging="425"/>
      </w:pPr>
      <w:rPr>
        <w:rFonts w:hint="default"/>
      </w:rPr>
    </w:lvl>
    <w:lvl w:ilvl="1" w:tentative="0">
      <w:start w:val="7"/>
      <w:numFmt w:val="decimal"/>
      <w:lvlText w:val="%1.%2."/>
      <w:lvlJc w:val="left"/>
      <w:pPr>
        <w:ind w:left="567" w:hanging="567"/>
      </w:pPr>
      <w:rPr>
        <w:rFonts w:hint="default" w:ascii="宋体" w:hAnsi="宋体" w:eastAsia="宋体" w:cs="宋体"/>
      </w:rPr>
    </w:lvl>
    <w:lvl w:ilvl="2" w:tentative="0">
      <w:start w:val="1"/>
      <w:numFmt w:val="decimal"/>
      <w:lvlText w:val="5.%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741227AA"/>
    <w:multiLevelType w:val="singleLevel"/>
    <w:tmpl w:val="741227AA"/>
    <w:lvl w:ilvl="0" w:tentative="0">
      <w:start w:val="1"/>
      <w:numFmt w:val="decimal"/>
      <w:suff w:val="nothing"/>
      <w:lvlText w:val="1.%1"/>
      <w:lvlJc w:val="left"/>
      <w:pPr>
        <w:tabs>
          <w:tab w:val="left" w:pos="0"/>
        </w:tabs>
      </w:pPr>
      <w:rPr>
        <w:rFonts w:hint="default" w:ascii="宋体" w:hAnsi="宋体" w:eastAsia="宋体" w:cs="宋体"/>
      </w:rPr>
    </w:lvl>
  </w:abstractNum>
  <w:abstractNum w:abstractNumId="10">
    <w:nsid w:val="7BDCB6BD"/>
    <w:multiLevelType w:val="multilevel"/>
    <w:tmpl w:val="7BDCB6BD"/>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5"/>
  </w:num>
  <w:num w:numId="2">
    <w:abstractNumId w:val="1"/>
  </w:num>
  <w:num w:numId="3">
    <w:abstractNumId w:val="9"/>
  </w:num>
  <w:num w:numId="4">
    <w:abstractNumId w:val="4"/>
  </w:num>
  <w:num w:numId="5">
    <w:abstractNumId w:val="10"/>
  </w:num>
  <w:num w:numId="6">
    <w:abstractNumId w:val="3"/>
  </w:num>
  <w:num w:numId="7">
    <w:abstractNumId w:val="7"/>
  </w:num>
  <w:num w:numId="8">
    <w:abstractNumId w:val="2"/>
  </w:num>
  <w:num w:numId="9">
    <w:abstractNumId w:val="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yZDVkYzI0YjZjYjEwNGVjYzQ1OWI1YWJiZTEyODgifQ=="/>
  </w:docVars>
  <w:rsids>
    <w:rsidRoot w:val="561A683A"/>
    <w:rsid w:val="00046AFD"/>
    <w:rsid w:val="0007718D"/>
    <w:rsid w:val="00093817"/>
    <w:rsid w:val="000E3B88"/>
    <w:rsid w:val="001276F2"/>
    <w:rsid w:val="001527F8"/>
    <w:rsid w:val="001B551E"/>
    <w:rsid w:val="001D0DC8"/>
    <w:rsid w:val="0029352B"/>
    <w:rsid w:val="002D17BC"/>
    <w:rsid w:val="002E79E9"/>
    <w:rsid w:val="003513F7"/>
    <w:rsid w:val="003B2B2F"/>
    <w:rsid w:val="003C6684"/>
    <w:rsid w:val="003D2140"/>
    <w:rsid w:val="004011B3"/>
    <w:rsid w:val="004276E9"/>
    <w:rsid w:val="00455D15"/>
    <w:rsid w:val="004C2B98"/>
    <w:rsid w:val="005346E5"/>
    <w:rsid w:val="00552DCF"/>
    <w:rsid w:val="005642CF"/>
    <w:rsid w:val="005B5A94"/>
    <w:rsid w:val="005D4110"/>
    <w:rsid w:val="005D540E"/>
    <w:rsid w:val="005F018C"/>
    <w:rsid w:val="00656774"/>
    <w:rsid w:val="006A7573"/>
    <w:rsid w:val="006F12FC"/>
    <w:rsid w:val="007A3F46"/>
    <w:rsid w:val="00800A68"/>
    <w:rsid w:val="008B0127"/>
    <w:rsid w:val="008C42D7"/>
    <w:rsid w:val="008F0F71"/>
    <w:rsid w:val="008F6592"/>
    <w:rsid w:val="0092185B"/>
    <w:rsid w:val="0092352C"/>
    <w:rsid w:val="00926F7F"/>
    <w:rsid w:val="009B485D"/>
    <w:rsid w:val="009F3C7D"/>
    <w:rsid w:val="00A2515B"/>
    <w:rsid w:val="00A4428C"/>
    <w:rsid w:val="00A944E0"/>
    <w:rsid w:val="00B00ADA"/>
    <w:rsid w:val="00B11FF2"/>
    <w:rsid w:val="00BD5AA2"/>
    <w:rsid w:val="00BE4C4A"/>
    <w:rsid w:val="00C53C87"/>
    <w:rsid w:val="00CB6940"/>
    <w:rsid w:val="00CE765D"/>
    <w:rsid w:val="00CF07C6"/>
    <w:rsid w:val="00DA4A43"/>
    <w:rsid w:val="00DC2632"/>
    <w:rsid w:val="00E324C8"/>
    <w:rsid w:val="039B5B6E"/>
    <w:rsid w:val="04057745"/>
    <w:rsid w:val="042323D4"/>
    <w:rsid w:val="058651FE"/>
    <w:rsid w:val="05B73630"/>
    <w:rsid w:val="05F128CA"/>
    <w:rsid w:val="069F2421"/>
    <w:rsid w:val="06F21F49"/>
    <w:rsid w:val="07040F57"/>
    <w:rsid w:val="072C3C99"/>
    <w:rsid w:val="075B1297"/>
    <w:rsid w:val="08377EFC"/>
    <w:rsid w:val="09285613"/>
    <w:rsid w:val="097A2F2C"/>
    <w:rsid w:val="09E11ED8"/>
    <w:rsid w:val="0A253B8D"/>
    <w:rsid w:val="0B931056"/>
    <w:rsid w:val="0C7A1DD8"/>
    <w:rsid w:val="0CF35E5E"/>
    <w:rsid w:val="0E3928DE"/>
    <w:rsid w:val="0E8109C0"/>
    <w:rsid w:val="0EEF11E6"/>
    <w:rsid w:val="0F543301"/>
    <w:rsid w:val="0F66759F"/>
    <w:rsid w:val="0FAE35ED"/>
    <w:rsid w:val="11477335"/>
    <w:rsid w:val="11595DDB"/>
    <w:rsid w:val="127C3CB1"/>
    <w:rsid w:val="12BB58E4"/>
    <w:rsid w:val="147259C6"/>
    <w:rsid w:val="15A70054"/>
    <w:rsid w:val="15EF3AF7"/>
    <w:rsid w:val="15F16610"/>
    <w:rsid w:val="161A44F0"/>
    <w:rsid w:val="16525CE1"/>
    <w:rsid w:val="171030EF"/>
    <w:rsid w:val="17A016F4"/>
    <w:rsid w:val="17D63F69"/>
    <w:rsid w:val="185A794E"/>
    <w:rsid w:val="194D47F0"/>
    <w:rsid w:val="1A7C004F"/>
    <w:rsid w:val="1A8B5C91"/>
    <w:rsid w:val="1BE45D60"/>
    <w:rsid w:val="1C0512AB"/>
    <w:rsid w:val="1DD815A3"/>
    <w:rsid w:val="1E124827"/>
    <w:rsid w:val="1F872953"/>
    <w:rsid w:val="201B5C14"/>
    <w:rsid w:val="207402FA"/>
    <w:rsid w:val="20787C2F"/>
    <w:rsid w:val="21680B8C"/>
    <w:rsid w:val="216C3516"/>
    <w:rsid w:val="249B5E51"/>
    <w:rsid w:val="25F34F3E"/>
    <w:rsid w:val="27D6739B"/>
    <w:rsid w:val="286A598B"/>
    <w:rsid w:val="29290258"/>
    <w:rsid w:val="295A724D"/>
    <w:rsid w:val="29DD5BA0"/>
    <w:rsid w:val="2A1001AB"/>
    <w:rsid w:val="2A8820F8"/>
    <w:rsid w:val="2B6670DB"/>
    <w:rsid w:val="2B6E37C0"/>
    <w:rsid w:val="2BDD3F12"/>
    <w:rsid w:val="2C4B2800"/>
    <w:rsid w:val="2CB95FB9"/>
    <w:rsid w:val="2D7B1DA4"/>
    <w:rsid w:val="2DCF58DA"/>
    <w:rsid w:val="2F7F7F4F"/>
    <w:rsid w:val="305C31D9"/>
    <w:rsid w:val="30D24870"/>
    <w:rsid w:val="312E32CE"/>
    <w:rsid w:val="31B732C3"/>
    <w:rsid w:val="32434C06"/>
    <w:rsid w:val="3281224F"/>
    <w:rsid w:val="338A5133"/>
    <w:rsid w:val="340824FC"/>
    <w:rsid w:val="34783F35"/>
    <w:rsid w:val="34BA7BE6"/>
    <w:rsid w:val="36146F36"/>
    <w:rsid w:val="36435A6D"/>
    <w:rsid w:val="368D1B3D"/>
    <w:rsid w:val="36E8451B"/>
    <w:rsid w:val="372631B2"/>
    <w:rsid w:val="37B81F5B"/>
    <w:rsid w:val="381369D4"/>
    <w:rsid w:val="3AAD56C8"/>
    <w:rsid w:val="3B111C96"/>
    <w:rsid w:val="3B467B70"/>
    <w:rsid w:val="3BF31601"/>
    <w:rsid w:val="3BF879AC"/>
    <w:rsid w:val="3C5C5CE9"/>
    <w:rsid w:val="3D671ABF"/>
    <w:rsid w:val="3DAA14D7"/>
    <w:rsid w:val="3DBF1E7D"/>
    <w:rsid w:val="3EA84A08"/>
    <w:rsid w:val="40A92EFF"/>
    <w:rsid w:val="40D80590"/>
    <w:rsid w:val="41F52311"/>
    <w:rsid w:val="4213084E"/>
    <w:rsid w:val="42FA7A02"/>
    <w:rsid w:val="433E1A96"/>
    <w:rsid w:val="43C4366E"/>
    <w:rsid w:val="443F47CE"/>
    <w:rsid w:val="4450382F"/>
    <w:rsid w:val="448F3A0C"/>
    <w:rsid w:val="451651FE"/>
    <w:rsid w:val="451900C5"/>
    <w:rsid w:val="45B10D7E"/>
    <w:rsid w:val="45D808B0"/>
    <w:rsid w:val="46830E9E"/>
    <w:rsid w:val="47382E88"/>
    <w:rsid w:val="48313978"/>
    <w:rsid w:val="499A248E"/>
    <w:rsid w:val="49AC3AA1"/>
    <w:rsid w:val="4AE253FD"/>
    <w:rsid w:val="4BAD6D58"/>
    <w:rsid w:val="4D590D57"/>
    <w:rsid w:val="4D791D20"/>
    <w:rsid w:val="4DF02E19"/>
    <w:rsid w:val="4FF82A8A"/>
    <w:rsid w:val="50BF1283"/>
    <w:rsid w:val="51E8779D"/>
    <w:rsid w:val="523C0D72"/>
    <w:rsid w:val="52C13FC0"/>
    <w:rsid w:val="532837CF"/>
    <w:rsid w:val="538A03AC"/>
    <w:rsid w:val="54F16968"/>
    <w:rsid w:val="55472A2C"/>
    <w:rsid w:val="55547A67"/>
    <w:rsid w:val="558B55F6"/>
    <w:rsid w:val="56094216"/>
    <w:rsid w:val="561A683A"/>
    <w:rsid w:val="56293EE0"/>
    <w:rsid w:val="56A143BE"/>
    <w:rsid w:val="56D6492F"/>
    <w:rsid w:val="56F10776"/>
    <w:rsid w:val="57B47D81"/>
    <w:rsid w:val="57ED207A"/>
    <w:rsid w:val="58005F43"/>
    <w:rsid w:val="5999303C"/>
    <w:rsid w:val="59A4476B"/>
    <w:rsid w:val="5A3D43FE"/>
    <w:rsid w:val="5A3F2E67"/>
    <w:rsid w:val="5AC02569"/>
    <w:rsid w:val="5AEB1C99"/>
    <w:rsid w:val="5C82506F"/>
    <w:rsid w:val="5CD74A6E"/>
    <w:rsid w:val="5CE4535A"/>
    <w:rsid w:val="5DD15589"/>
    <w:rsid w:val="5E1043E2"/>
    <w:rsid w:val="5E3F48A4"/>
    <w:rsid w:val="5EB20E7E"/>
    <w:rsid w:val="5F6944F5"/>
    <w:rsid w:val="609E54CA"/>
    <w:rsid w:val="60CE4002"/>
    <w:rsid w:val="617A7667"/>
    <w:rsid w:val="619D5782"/>
    <w:rsid w:val="634B05D4"/>
    <w:rsid w:val="635530ED"/>
    <w:rsid w:val="63596399"/>
    <w:rsid w:val="63B30952"/>
    <w:rsid w:val="648D7D30"/>
    <w:rsid w:val="64C44026"/>
    <w:rsid w:val="64CC2144"/>
    <w:rsid w:val="64D302DC"/>
    <w:rsid w:val="653D1756"/>
    <w:rsid w:val="658A4F57"/>
    <w:rsid w:val="684C6992"/>
    <w:rsid w:val="685B0509"/>
    <w:rsid w:val="68906AA5"/>
    <w:rsid w:val="69771A5C"/>
    <w:rsid w:val="6A5C5079"/>
    <w:rsid w:val="6BA53BB1"/>
    <w:rsid w:val="6BB51D72"/>
    <w:rsid w:val="6C206754"/>
    <w:rsid w:val="6C8C6E25"/>
    <w:rsid w:val="6CCF2F38"/>
    <w:rsid w:val="6CFE426D"/>
    <w:rsid w:val="6D004510"/>
    <w:rsid w:val="6D741A8D"/>
    <w:rsid w:val="6DB243C7"/>
    <w:rsid w:val="6E0A7122"/>
    <w:rsid w:val="6E1A123E"/>
    <w:rsid w:val="70EE5FFA"/>
    <w:rsid w:val="7108531D"/>
    <w:rsid w:val="719C7804"/>
    <w:rsid w:val="72414441"/>
    <w:rsid w:val="724950AF"/>
    <w:rsid w:val="74C642AE"/>
    <w:rsid w:val="75A448A1"/>
    <w:rsid w:val="75B55338"/>
    <w:rsid w:val="76DA32A9"/>
    <w:rsid w:val="770C0F88"/>
    <w:rsid w:val="787613AC"/>
    <w:rsid w:val="78A8299A"/>
    <w:rsid w:val="7A5009F8"/>
    <w:rsid w:val="7AF16F09"/>
    <w:rsid w:val="7B1010A5"/>
    <w:rsid w:val="7BA42683"/>
    <w:rsid w:val="7BCE0F02"/>
    <w:rsid w:val="7BDA07D9"/>
    <w:rsid w:val="7C2A5A86"/>
    <w:rsid w:val="7CCD78F8"/>
    <w:rsid w:val="7D566FAE"/>
    <w:rsid w:val="7EFE6495"/>
    <w:rsid w:val="7F6E0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0"/>
    <w:pPr>
      <w:spacing w:before="120"/>
    </w:pPr>
    <w:rPr>
      <w:rFonts w:ascii="Arial" w:hAnsi="Arial"/>
      <w:sz w:val="24"/>
    </w:rPr>
  </w:style>
  <w:style w:type="paragraph" w:styleId="3">
    <w:name w:val="annotation text"/>
    <w:basedOn w:val="1"/>
    <w:link w:val="17"/>
    <w:qFormat/>
    <w:uiPriority w:val="0"/>
    <w:pPr>
      <w:jc w:val="left"/>
    </w:pPr>
  </w:style>
  <w:style w:type="paragraph" w:styleId="4">
    <w:name w:val="Balloon Text"/>
    <w:basedOn w:val="1"/>
    <w:link w:val="22"/>
    <w:qFormat/>
    <w:uiPriority w:val="0"/>
    <w:rPr>
      <w:sz w:val="18"/>
      <w:szCs w:val="18"/>
    </w:rPr>
  </w:style>
  <w:style w:type="paragraph" w:styleId="5">
    <w:name w:val="footer"/>
    <w:basedOn w:val="1"/>
    <w:link w:val="21"/>
    <w:qFormat/>
    <w:uiPriority w:val="0"/>
    <w:pPr>
      <w:tabs>
        <w:tab w:val="center" w:pos="4153"/>
        <w:tab w:val="right" w:pos="8306"/>
      </w:tabs>
      <w:snapToGrid w:val="0"/>
      <w:jc w:val="left"/>
    </w:pPr>
    <w:rPr>
      <w:sz w:val="18"/>
      <w:szCs w:val="18"/>
    </w:rPr>
  </w:style>
  <w:style w:type="paragraph" w:styleId="6">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18"/>
    <w:qFormat/>
    <w:uiPriority w:val="0"/>
    <w:rPr>
      <w:b/>
      <w:bCs/>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Hyperlink"/>
    <w:unhideWhenUsed/>
    <w:qFormat/>
    <w:uiPriority w:val="99"/>
    <w:rPr>
      <w:color w:val="0000FF"/>
      <w:u w:val="single"/>
    </w:rPr>
  </w:style>
  <w:style w:type="character" w:styleId="14">
    <w:name w:val="annotation reference"/>
    <w:basedOn w:val="11"/>
    <w:qFormat/>
    <w:uiPriority w:val="0"/>
    <w:rPr>
      <w:sz w:val="21"/>
      <w:szCs w:val="21"/>
    </w:rPr>
  </w:style>
  <w:style w:type="paragraph" w:customStyle="1" w:styleId="15">
    <w:name w:val="Table Paragraph"/>
    <w:basedOn w:val="1"/>
    <w:qFormat/>
    <w:uiPriority w:val="1"/>
    <w:rPr>
      <w:rFonts w:ascii="宋体" w:hAnsi="宋体" w:cs="宋体"/>
    </w:rPr>
  </w:style>
  <w:style w:type="paragraph" w:customStyle="1" w:styleId="16">
    <w:name w:val="修订1"/>
    <w:hidden/>
    <w:semiHidden/>
    <w:qFormat/>
    <w:uiPriority w:val="99"/>
    <w:rPr>
      <w:rFonts w:ascii="Calibri" w:hAnsi="Calibri" w:eastAsia="宋体" w:cs="Times New Roman"/>
      <w:kern w:val="2"/>
      <w:sz w:val="21"/>
      <w:lang w:val="en-US" w:eastAsia="zh-CN" w:bidi="ar-SA"/>
    </w:rPr>
  </w:style>
  <w:style w:type="character" w:customStyle="1" w:styleId="17">
    <w:name w:val="批注文字 字符"/>
    <w:basedOn w:val="11"/>
    <w:link w:val="3"/>
    <w:qFormat/>
    <w:uiPriority w:val="0"/>
    <w:rPr>
      <w:rFonts w:ascii="Calibri" w:hAnsi="Calibri"/>
      <w:kern w:val="2"/>
      <w:sz w:val="21"/>
    </w:rPr>
  </w:style>
  <w:style w:type="character" w:customStyle="1" w:styleId="18">
    <w:name w:val="批注主题 字符"/>
    <w:basedOn w:val="17"/>
    <w:link w:val="8"/>
    <w:qFormat/>
    <w:uiPriority w:val="0"/>
    <w:rPr>
      <w:rFonts w:ascii="Calibri" w:hAnsi="Calibri"/>
      <w:b/>
      <w:bCs/>
      <w:kern w:val="2"/>
      <w:sz w:val="21"/>
    </w:rPr>
  </w:style>
  <w:style w:type="paragraph" w:styleId="19">
    <w:name w:val="List Paragraph"/>
    <w:basedOn w:val="1"/>
    <w:qFormat/>
    <w:uiPriority w:val="99"/>
    <w:pPr>
      <w:ind w:firstLine="420" w:firstLineChars="200"/>
    </w:pPr>
  </w:style>
  <w:style w:type="character" w:customStyle="1" w:styleId="20">
    <w:name w:val="页眉 字符"/>
    <w:basedOn w:val="11"/>
    <w:link w:val="6"/>
    <w:qFormat/>
    <w:uiPriority w:val="0"/>
    <w:rPr>
      <w:rFonts w:ascii="Calibri" w:hAnsi="Calibri"/>
      <w:kern w:val="2"/>
      <w:sz w:val="18"/>
      <w:szCs w:val="18"/>
    </w:rPr>
  </w:style>
  <w:style w:type="character" w:customStyle="1" w:styleId="21">
    <w:name w:val="页脚 字符"/>
    <w:basedOn w:val="11"/>
    <w:link w:val="5"/>
    <w:qFormat/>
    <w:uiPriority w:val="0"/>
    <w:rPr>
      <w:rFonts w:ascii="Calibri" w:hAnsi="Calibri"/>
      <w:kern w:val="2"/>
      <w:sz w:val="18"/>
      <w:szCs w:val="18"/>
    </w:rPr>
  </w:style>
  <w:style w:type="character" w:customStyle="1" w:styleId="22">
    <w:name w:val="批注框文本 字符"/>
    <w:basedOn w:val="11"/>
    <w:link w:val="4"/>
    <w:qFormat/>
    <w:uiPriority w:val="0"/>
    <w:rPr>
      <w:rFonts w:ascii="Calibri" w:hAnsi="Calibri" w:eastAsia="宋体" w:cs="Times New Roman"/>
      <w:kern w:val="2"/>
      <w:sz w:val="18"/>
      <w:szCs w:val="18"/>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D4A08-A570-4430-AA92-7085E8DDA0B5}">
  <ds:schemaRefs/>
</ds:datastoreItem>
</file>

<file path=docProps/app.xml><?xml version="1.0" encoding="utf-8"?>
<Properties xmlns="http://schemas.openxmlformats.org/officeDocument/2006/extended-properties" xmlns:vt="http://schemas.openxmlformats.org/officeDocument/2006/docPropsVTypes">
  <Template>Normal</Template>
  <Pages>15</Pages>
  <Words>7485</Words>
  <Characters>7757</Characters>
  <Lines>58</Lines>
  <Paragraphs>16</Paragraphs>
  <TotalTime>83</TotalTime>
  <ScaleCrop>false</ScaleCrop>
  <LinksUpToDate>false</LinksUpToDate>
  <CharactersWithSpaces>7771</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2023-04-20T01:59:00Z</dcterms:created>
  <dc:creator>hualun-zdy</dc:creator>
  <cp:lastModifiedBy>nathaniblee</cp:lastModifiedBy>
  <cp:lastPrinted>2023-04-20T02:23:00Z</cp:lastPrinted>
  <dcterms:modified xsi:type="dcterms:W3CDTF">2023-04-23T06:12:01Z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30F7E87D0DF04F24AD7F97CC3DD360BA</vt:lpwstr>
  </property>
</Properties>
</file>